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4341D"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15DFF735" w14:textId="77777777" w:rsidR="00321081" w:rsidRDefault="00321081">
      <w:pPr>
        <w:spacing w:before="240"/>
        <w:jc w:val="center"/>
      </w:pPr>
      <w:r>
        <w:rPr>
          <w:noProof/>
        </w:rPr>
        <w:drawing>
          <wp:anchor distT="0" distB="0" distL="114300" distR="114300" simplePos="0" relativeHeight="251658240" behindDoc="1" locked="0" layoutInCell="1" allowOverlap="1" wp14:anchorId="2393AA0E" wp14:editId="72EF9FF1">
            <wp:simplePos x="0" y="0"/>
            <wp:positionH relativeFrom="column">
              <wp:posOffset>857250</wp:posOffset>
            </wp:positionH>
            <wp:positionV relativeFrom="paragraph">
              <wp:posOffset>69850</wp:posOffset>
            </wp:positionV>
            <wp:extent cx="4647600" cy="1123200"/>
            <wp:effectExtent l="0" t="0" r="635" b="1270"/>
            <wp:wrapNone/>
            <wp:docPr id="1" name="Image 1" descr="Innovation Fund Small Scale Projects - WEAM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novation Fund Small Scale Projects - WEAMEC"/>
                    <pic:cNvPicPr>
                      <a:picLocks noChangeAspect="1" noChangeArrowheads="1"/>
                    </pic:cNvPicPr>
                  </pic:nvPicPr>
                  <pic:blipFill rotWithShape="1">
                    <a:blip r:embed="rId9">
                      <a:extLst>
                        <a:ext uri="{28A0092B-C50C-407E-A947-70E740481C1C}">
                          <a14:useLocalDpi xmlns:a14="http://schemas.microsoft.com/office/drawing/2010/main" val="0"/>
                        </a:ext>
                      </a:extLst>
                    </a:blip>
                    <a:srcRect t="31939" b="31844"/>
                    <a:stretch/>
                  </pic:blipFill>
                  <pic:spPr bwMode="auto">
                    <a:xfrm>
                      <a:off x="0" y="0"/>
                      <a:ext cx="4647600" cy="1123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1B6859" w14:textId="77777777" w:rsidR="00321081" w:rsidRDefault="00321081">
      <w:pPr>
        <w:spacing w:before="240"/>
        <w:jc w:val="center"/>
        <w:rPr>
          <w:rFonts w:ascii="Cambria" w:eastAsia="Cambria" w:hAnsi="Cambria" w:cs="Cambria"/>
          <w:b/>
          <w:smallCaps/>
          <w:color w:val="403152"/>
          <w:sz w:val="40"/>
          <w:szCs w:val="40"/>
        </w:rPr>
      </w:pPr>
    </w:p>
    <w:p w14:paraId="527EEBBB" w14:textId="77777777" w:rsidR="00CC781C" w:rsidRDefault="00CC781C">
      <w:pPr>
        <w:spacing w:before="240"/>
        <w:jc w:val="center"/>
        <w:rPr>
          <w:rFonts w:ascii="Cambria" w:eastAsia="Cambria" w:hAnsi="Cambria" w:cs="Cambria"/>
          <w:b/>
          <w:smallCaps/>
          <w:color w:val="403152"/>
          <w:sz w:val="40"/>
          <w:szCs w:val="40"/>
        </w:rPr>
      </w:pP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ayout w:type="fixed"/>
        <w:tblLook w:val="04A0" w:firstRow="1" w:lastRow="0" w:firstColumn="1" w:lastColumn="0" w:noHBand="0" w:noVBand="1"/>
      </w:tblPr>
      <w:tblGrid>
        <w:gridCol w:w="2268"/>
        <w:gridCol w:w="2552"/>
        <w:gridCol w:w="2551"/>
        <w:gridCol w:w="2381"/>
      </w:tblGrid>
      <w:tr w:rsidR="00993BCA" w:rsidRPr="002F3CAA" w14:paraId="7F0AF75D" w14:textId="77777777" w:rsidTr="000C638C">
        <w:trPr>
          <w:trHeight w:val="646"/>
        </w:trPr>
        <w:tc>
          <w:tcPr>
            <w:tcW w:w="4820" w:type="dxa"/>
            <w:gridSpan w:val="2"/>
            <w:shd w:val="clear" w:color="auto" w:fill="CCC0D9" w:themeFill="accent4" w:themeFillTint="66"/>
            <w:vAlign w:val="center"/>
          </w:tcPr>
          <w:p w14:paraId="6A26571F" w14:textId="77777777" w:rsidR="00993BCA" w:rsidRPr="002F1E2B" w:rsidRDefault="00993BCA" w:rsidP="00BF5025">
            <w:pPr>
              <w:tabs>
                <w:tab w:val="left" w:pos="1307"/>
              </w:tabs>
              <w:jc w:val="center"/>
              <w:rPr>
                <w:b/>
                <w:bCs/>
                <w:i/>
                <w:iCs/>
              </w:rPr>
            </w:pPr>
            <w:r>
              <w:rPr>
                <w:b/>
                <w:bCs/>
              </w:rPr>
              <w:t>Domaines visés</w:t>
            </w:r>
          </w:p>
        </w:tc>
        <w:tc>
          <w:tcPr>
            <w:tcW w:w="2551" w:type="dxa"/>
            <w:shd w:val="clear" w:color="auto" w:fill="CCC0D9" w:themeFill="accent4" w:themeFillTint="66"/>
            <w:vAlign w:val="center"/>
          </w:tcPr>
          <w:p w14:paraId="5BE93992" w14:textId="77777777" w:rsidR="00993BCA" w:rsidRPr="002F1E2B" w:rsidRDefault="00993BCA" w:rsidP="00BF5025">
            <w:pPr>
              <w:tabs>
                <w:tab w:val="left" w:pos="1307"/>
              </w:tabs>
              <w:jc w:val="center"/>
              <w:rPr>
                <w:b/>
                <w:bCs/>
                <w:i/>
                <w:iCs/>
              </w:rPr>
            </w:pPr>
            <w:r w:rsidRPr="002F3CAA">
              <w:rPr>
                <w:b/>
                <w:bCs/>
              </w:rPr>
              <w:t>Porteurs de projet éligibles</w:t>
            </w:r>
          </w:p>
        </w:tc>
        <w:tc>
          <w:tcPr>
            <w:tcW w:w="2381" w:type="dxa"/>
            <w:shd w:val="clear" w:color="auto" w:fill="CCC0D9" w:themeFill="accent4" w:themeFillTint="66"/>
            <w:vAlign w:val="center"/>
          </w:tcPr>
          <w:p w14:paraId="1D5272CD" w14:textId="04D03455" w:rsidR="00993BCA" w:rsidRPr="002F3CAA" w:rsidRDefault="00844479" w:rsidP="00BF5025">
            <w:pPr>
              <w:tabs>
                <w:tab w:val="left" w:pos="1307"/>
              </w:tabs>
              <w:jc w:val="center"/>
              <w:rPr>
                <w:b/>
                <w:bCs/>
              </w:rPr>
            </w:pPr>
            <w:r>
              <w:rPr>
                <w:b/>
                <w:bCs/>
              </w:rPr>
              <w:t>Type de partenariat</w:t>
            </w:r>
          </w:p>
        </w:tc>
      </w:tr>
      <w:tr w:rsidR="00844479" w14:paraId="47A8FB0B" w14:textId="77777777" w:rsidTr="000C638C">
        <w:trPr>
          <w:trHeight w:val="669"/>
        </w:trPr>
        <w:tc>
          <w:tcPr>
            <w:tcW w:w="2268" w:type="dxa"/>
            <w:shd w:val="clear" w:color="auto" w:fill="E5DFEC" w:themeFill="accent4" w:themeFillTint="33"/>
            <w:vAlign w:val="center"/>
          </w:tcPr>
          <w:p w14:paraId="62C0A345" w14:textId="77777777" w:rsidR="00993BCA" w:rsidRDefault="00C42E7D" w:rsidP="00C42E7D">
            <w:pPr>
              <w:pStyle w:val="Paragraphedeliste"/>
              <w:numPr>
                <w:ilvl w:val="0"/>
                <w:numId w:val="11"/>
              </w:numPr>
              <w:tabs>
                <w:tab w:val="left" w:pos="1307"/>
              </w:tabs>
            </w:pPr>
            <w:proofErr w:type="gramStart"/>
            <w:r>
              <w:t>Technologies bas carbone</w:t>
            </w:r>
            <w:proofErr w:type="gramEnd"/>
            <w:r>
              <w:t xml:space="preserve"> pour les industries à forte intensité énergétique</w:t>
            </w:r>
          </w:p>
        </w:tc>
        <w:tc>
          <w:tcPr>
            <w:tcW w:w="2552" w:type="dxa"/>
            <w:shd w:val="clear" w:color="auto" w:fill="E5DFEC" w:themeFill="accent4" w:themeFillTint="33"/>
            <w:vAlign w:val="center"/>
          </w:tcPr>
          <w:p w14:paraId="13446AE8" w14:textId="427451A8" w:rsidR="00993BCA" w:rsidRDefault="00F67F95" w:rsidP="00C42E7D">
            <w:pPr>
              <w:pStyle w:val="Paragraphedeliste"/>
              <w:numPr>
                <w:ilvl w:val="0"/>
                <w:numId w:val="11"/>
              </w:numPr>
            </w:pPr>
            <w:proofErr w:type="spellStart"/>
            <w:r>
              <w:t>E</w:t>
            </w:r>
            <w:r w:rsidR="00530D1B">
              <w:t>nergies</w:t>
            </w:r>
            <w:proofErr w:type="spellEnd"/>
            <w:r w:rsidR="00530D1B">
              <w:t xml:space="preserve"> renouvelables</w:t>
            </w:r>
          </w:p>
          <w:p w14:paraId="42C5FBC8" w14:textId="77777777" w:rsidR="00C42E7D" w:rsidRDefault="00C42E7D" w:rsidP="00C42E7D">
            <w:pPr>
              <w:pStyle w:val="Paragraphedeliste"/>
              <w:numPr>
                <w:ilvl w:val="0"/>
                <w:numId w:val="11"/>
              </w:numPr>
            </w:pPr>
            <w:r>
              <w:t>Captage, utilisation et stockage du carbone</w:t>
            </w:r>
          </w:p>
          <w:p w14:paraId="4058F5A8" w14:textId="77777777" w:rsidR="00C42E7D" w:rsidRPr="00C959B9" w:rsidRDefault="00C42E7D" w:rsidP="00C42E7D">
            <w:pPr>
              <w:pStyle w:val="Paragraphedeliste"/>
              <w:numPr>
                <w:ilvl w:val="0"/>
                <w:numId w:val="11"/>
              </w:numPr>
            </w:pPr>
            <w:r>
              <w:t>Stockage de l’énergie</w:t>
            </w:r>
          </w:p>
        </w:tc>
        <w:tc>
          <w:tcPr>
            <w:tcW w:w="2551" w:type="dxa"/>
            <w:shd w:val="clear" w:color="auto" w:fill="E5DFEC" w:themeFill="accent4" w:themeFillTint="33"/>
            <w:vAlign w:val="center"/>
          </w:tcPr>
          <w:p w14:paraId="2FD50B3E" w14:textId="77777777" w:rsidR="00993BCA" w:rsidRPr="00C959B9" w:rsidRDefault="00F67F95" w:rsidP="00BF5025">
            <w:pPr>
              <w:jc w:val="center"/>
            </w:pPr>
            <w:r>
              <w:t>Toute entité légale basée dans l’UE (ou en Islande ou Norvège) dont l’activité relève des domaines visés</w:t>
            </w:r>
          </w:p>
        </w:tc>
        <w:tc>
          <w:tcPr>
            <w:tcW w:w="2381" w:type="dxa"/>
            <w:shd w:val="clear" w:color="auto" w:fill="E5DFEC" w:themeFill="accent4" w:themeFillTint="33"/>
            <w:vAlign w:val="center"/>
          </w:tcPr>
          <w:p w14:paraId="56C5357F" w14:textId="036D7D64" w:rsidR="00993BCA" w:rsidRDefault="00844479" w:rsidP="00844479">
            <w:pPr>
              <w:pStyle w:val="Paragraphedeliste"/>
              <w:numPr>
                <w:ilvl w:val="0"/>
                <w:numId w:val="33"/>
              </w:numPr>
              <w:tabs>
                <w:tab w:val="left" w:pos="1307"/>
              </w:tabs>
              <w:jc w:val="center"/>
            </w:pPr>
            <w:proofErr w:type="spellStart"/>
            <w:r>
              <w:t>Monopartenaire</w:t>
            </w:r>
            <w:proofErr w:type="spellEnd"/>
            <w:r>
              <w:t xml:space="preserve"> ou multipartenaire</w:t>
            </w:r>
          </w:p>
          <w:p w14:paraId="1B1D21DE" w14:textId="320E084B" w:rsidR="00844479" w:rsidRDefault="00844479" w:rsidP="000C638C">
            <w:pPr>
              <w:pStyle w:val="Paragraphedeliste"/>
              <w:numPr>
                <w:ilvl w:val="0"/>
                <w:numId w:val="33"/>
              </w:numPr>
              <w:tabs>
                <w:tab w:val="left" w:pos="1307"/>
              </w:tabs>
              <w:jc w:val="center"/>
            </w:pPr>
            <w:r>
              <w:t>Pas nécessairement transnational</w:t>
            </w:r>
          </w:p>
        </w:tc>
      </w:tr>
      <w:tr w:rsidR="00844479" w:rsidRPr="002F3CAA" w14:paraId="1E9407BE" w14:textId="77777777" w:rsidTr="00AC6654">
        <w:trPr>
          <w:trHeight w:val="628"/>
        </w:trPr>
        <w:tc>
          <w:tcPr>
            <w:tcW w:w="2268" w:type="dxa"/>
            <w:shd w:val="clear" w:color="auto" w:fill="CCC0D9" w:themeFill="accent4" w:themeFillTint="66"/>
            <w:vAlign w:val="center"/>
          </w:tcPr>
          <w:p w14:paraId="09DF2CEC" w14:textId="27865406" w:rsidR="00844479" w:rsidRPr="002F3CAA" w:rsidRDefault="00844479" w:rsidP="00844479">
            <w:pPr>
              <w:tabs>
                <w:tab w:val="left" w:pos="1307"/>
              </w:tabs>
              <w:jc w:val="center"/>
              <w:rPr>
                <w:b/>
                <w:bCs/>
              </w:rPr>
            </w:pPr>
            <w:r w:rsidRPr="002F3CAA">
              <w:rPr>
                <w:b/>
                <w:bCs/>
              </w:rPr>
              <w:t>Forme de l’appui financier</w:t>
            </w:r>
          </w:p>
        </w:tc>
        <w:tc>
          <w:tcPr>
            <w:tcW w:w="5103" w:type="dxa"/>
            <w:gridSpan w:val="2"/>
            <w:shd w:val="clear" w:color="auto" w:fill="CCC0D9" w:themeFill="accent4" w:themeFillTint="66"/>
            <w:vAlign w:val="center"/>
          </w:tcPr>
          <w:p w14:paraId="76537BF3" w14:textId="1B3B3F80" w:rsidR="00844479" w:rsidRDefault="00844479" w:rsidP="00844479">
            <w:pPr>
              <w:tabs>
                <w:tab w:val="left" w:pos="1307"/>
              </w:tabs>
              <w:jc w:val="center"/>
              <w:rPr>
                <w:b/>
                <w:bCs/>
              </w:rPr>
            </w:pPr>
            <w:r>
              <w:rPr>
                <w:b/>
                <w:bCs/>
              </w:rPr>
              <w:t>Budget moyen des projets</w:t>
            </w:r>
          </w:p>
        </w:tc>
        <w:tc>
          <w:tcPr>
            <w:tcW w:w="2381" w:type="dxa"/>
            <w:shd w:val="clear" w:color="auto" w:fill="CCC0D9" w:themeFill="accent4" w:themeFillTint="66"/>
            <w:vAlign w:val="center"/>
          </w:tcPr>
          <w:p w14:paraId="7BC70EE9" w14:textId="782C808E" w:rsidR="00844479" w:rsidRPr="002F3CAA" w:rsidRDefault="00844479" w:rsidP="00844479">
            <w:pPr>
              <w:tabs>
                <w:tab w:val="left" w:pos="1307"/>
              </w:tabs>
              <w:jc w:val="center"/>
              <w:rPr>
                <w:b/>
                <w:bCs/>
              </w:rPr>
            </w:pPr>
            <w:r>
              <w:rPr>
                <w:b/>
                <w:bCs/>
              </w:rPr>
              <w:t>Taux d’aide</w:t>
            </w:r>
          </w:p>
        </w:tc>
      </w:tr>
      <w:tr w:rsidR="00844479" w:rsidRPr="002F3CAA" w14:paraId="14DEFCAA" w14:textId="77777777" w:rsidTr="000C638C">
        <w:trPr>
          <w:trHeight w:val="628"/>
        </w:trPr>
        <w:tc>
          <w:tcPr>
            <w:tcW w:w="2268" w:type="dxa"/>
            <w:shd w:val="clear" w:color="auto" w:fill="E5DFEC" w:themeFill="accent4" w:themeFillTint="33"/>
            <w:vAlign w:val="center"/>
          </w:tcPr>
          <w:p w14:paraId="2FF9CAAF" w14:textId="67523AE0" w:rsidR="00844479" w:rsidRPr="002F3CAA" w:rsidRDefault="00844479" w:rsidP="00844479">
            <w:pPr>
              <w:tabs>
                <w:tab w:val="left" w:pos="1307"/>
              </w:tabs>
              <w:jc w:val="center"/>
              <w:rPr>
                <w:b/>
                <w:bCs/>
              </w:rPr>
            </w:pPr>
            <w:r>
              <w:t>Subvention</w:t>
            </w:r>
          </w:p>
        </w:tc>
        <w:tc>
          <w:tcPr>
            <w:tcW w:w="2552" w:type="dxa"/>
            <w:shd w:val="clear" w:color="auto" w:fill="E5DFEC" w:themeFill="accent4" w:themeFillTint="33"/>
            <w:vAlign w:val="center"/>
          </w:tcPr>
          <w:p w14:paraId="1CE15A11" w14:textId="0287FE31" w:rsidR="00844479" w:rsidRPr="000C638C" w:rsidRDefault="00844479" w:rsidP="00844479">
            <w:pPr>
              <w:tabs>
                <w:tab w:val="left" w:pos="1307"/>
              </w:tabs>
              <w:jc w:val="center"/>
            </w:pPr>
            <w:r w:rsidRPr="000C638C">
              <w:t xml:space="preserve">Projets de grande échelle : CAPEX &gt; 7,5M€ </w:t>
            </w:r>
          </w:p>
        </w:tc>
        <w:tc>
          <w:tcPr>
            <w:tcW w:w="2551" w:type="dxa"/>
            <w:shd w:val="clear" w:color="auto" w:fill="E5DFEC" w:themeFill="accent4" w:themeFillTint="33"/>
            <w:vAlign w:val="center"/>
          </w:tcPr>
          <w:p w14:paraId="170DFECA" w14:textId="77777777" w:rsidR="00844479" w:rsidRDefault="00844479" w:rsidP="00844479">
            <w:pPr>
              <w:tabs>
                <w:tab w:val="left" w:pos="1307"/>
              </w:tabs>
              <w:jc w:val="center"/>
            </w:pPr>
            <w:r>
              <w:t>Projets de petite échelle :</w:t>
            </w:r>
          </w:p>
          <w:p w14:paraId="0C490463" w14:textId="5D7CF283" w:rsidR="00844479" w:rsidRPr="000C638C" w:rsidRDefault="00844479">
            <w:pPr>
              <w:tabs>
                <w:tab w:val="left" w:pos="1307"/>
              </w:tabs>
              <w:jc w:val="center"/>
            </w:pPr>
            <w:r>
              <w:t>2,5M€ &lt; CAPEX &lt; 7,5M€</w:t>
            </w:r>
          </w:p>
        </w:tc>
        <w:tc>
          <w:tcPr>
            <w:tcW w:w="2381" w:type="dxa"/>
            <w:shd w:val="clear" w:color="auto" w:fill="E5DFEC" w:themeFill="accent4" w:themeFillTint="33"/>
            <w:vAlign w:val="center"/>
          </w:tcPr>
          <w:p w14:paraId="683A0502" w14:textId="104763AC" w:rsidR="00844479" w:rsidRPr="000C638C" w:rsidRDefault="00844479" w:rsidP="00844479">
            <w:pPr>
              <w:tabs>
                <w:tab w:val="left" w:pos="1307"/>
              </w:tabs>
              <w:jc w:val="center"/>
            </w:pPr>
            <w:r w:rsidRPr="000C638C">
              <w:t>60% des coûts éligibles</w:t>
            </w:r>
          </w:p>
        </w:tc>
      </w:tr>
      <w:tr w:rsidR="00844479" w:rsidRPr="002F3CAA" w14:paraId="5C19093D" w14:textId="77777777" w:rsidTr="00DE7E14">
        <w:trPr>
          <w:trHeight w:val="628"/>
        </w:trPr>
        <w:tc>
          <w:tcPr>
            <w:tcW w:w="2268" w:type="dxa"/>
            <w:shd w:val="clear" w:color="auto" w:fill="CCC0D9" w:themeFill="accent4" w:themeFillTint="66"/>
            <w:vAlign w:val="center"/>
          </w:tcPr>
          <w:p w14:paraId="38B3B415" w14:textId="1A701343" w:rsidR="00844479" w:rsidRPr="002F3CAA" w:rsidRDefault="00844479" w:rsidP="00844479">
            <w:pPr>
              <w:tabs>
                <w:tab w:val="left" w:pos="1307"/>
              </w:tabs>
              <w:jc w:val="center"/>
              <w:rPr>
                <w:b/>
                <w:bCs/>
              </w:rPr>
            </w:pPr>
            <w:r w:rsidRPr="002F3CAA">
              <w:rPr>
                <w:b/>
                <w:bCs/>
              </w:rPr>
              <w:t>Mode de candidature</w:t>
            </w:r>
          </w:p>
        </w:tc>
        <w:tc>
          <w:tcPr>
            <w:tcW w:w="2552" w:type="dxa"/>
            <w:shd w:val="clear" w:color="auto" w:fill="CCC0D9" w:themeFill="accent4" w:themeFillTint="66"/>
            <w:vAlign w:val="center"/>
          </w:tcPr>
          <w:p w14:paraId="6110505C" w14:textId="589FB214" w:rsidR="00844479" w:rsidRDefault="00844479" w:rsidP="00844479">
            <w:pPr>
              <w:tabs>
                <w:tab w:val="left" w:pos="1307"/>
              </w:tabs>
              <w:jc w:val="center"/>
              <w:rPr>
                <w:b/>
                <w:bCs/>
              </w:rPr>
            </w:pPr>
            <w:r>
              <w:rPr>
                <w:b/>
                <w:bCs/>
              </w:rPr>
              <w:t>Taux de sélection</w:t>
            </w:r>
          </w:p>
        </w:tc>
        <w:tc>
          <w:tcPr>
            <w:tcW w:w="4932" w:type="dxa"/>
            <w:gridSpan w:val="2"/>
            <w:shd w:val="clear" w:color="auto" w:fill="CCC0D9" w:themeFill="accent4" w:themeFillTint="66"/>
            <w:vAlign w:val="center"/>
          </w:tcPr>
          <w:p w14:paraId="5B86C3F9" w14:textId="36152F93" w:rsidR="00844479" w:rsidRPr="002F3CAA" w:rsidRDefault="00844479">
            <w:pPr>
              <w:tabs>
                <w:tab w:val="left" w:pos="1307"/>
              </w:tabs>
              <w:jc w:val="center"/>
              <w:rPr>
                <w:b/>
                <w:bCs/>
              </w:rPr>
            </w:pPr>
            <w:r>
              <w:rPr>
                <w:b/>
                <w:bCs/>
              </w:rPr>
              <w:t>Typologie de projet</w:t>
            </w:r>
          </w:p>
        </w:tc>
      </w:tr>
      <w:tr w:rsidR="00844479" w14:paraId="2575AC73" w14:textId="77777777" w:rsidTr="0068445E">
        <w:trPr>
          <w:trHeight w:val="645"/>
        </w:trPr>
        <w:tc>
          <w:tcPr>
            <w:tcW w:w="2268" w:type="dxa"/>
            <w:shd w:val="clear" w:color="auto" w:fill="E5DFEC" w:themeFill="accent4" w:themeFillTint="33"/>
            <w:vAlign w:val="center"/>
          </w:tcPr>
          <w:p w14:paraId="47844493" w14:textId="65CEE823" w:rsidR="00844479" w:rsidRDefault="00844479" w:rsidP="00844479">
            <w:pPr>
              <w:tabs>
                <w:tab w:val="left" w:pos="1307"/>
              </w:tabs>
              <w:jc w:val="center"/>
            </w:pPr>
            <w:r>
              <w:t>Un appel à projets annuel</w:t>
            </w:r>
          </w:p>
        </w:tc>
        <w:tc>
          <w:tcPr>
            <w:tcW w:w="2552" w:type="dxa"/>
            <w:shd w:val="clear" w:color="auto" w:fill="E5DFEC" w:themeFill="accent4" w:themeFillTint="33"/>
            <w:vAlign w:val="center"/>
          </w:tcPr>
          <w:p w14:paraId="384785F5" w14:textId="4DAC850B" w:rsidR="00844479" w:rsidRDefault="00844479" w:rsidP="00844479">
            <w:pPr>
              <w:tabs>
                <w:tab w:val="left" w:pos="1307"/>
              </w:tabs>
              <w:jc w:val="center"/>
            </w:pPr>
            <w:r>
              <w:t xml:space="preserve">Environ 10% selon les années </w:t>
            </w:r>
            <w:r w:rsidR="00530D1B">
              <w:t>et le type d’appel</w:t>
            </w:r>
          </w:p>
        </w:tc>
        <w:tc>
          <w:tcPr>
            <w:tcW w:w="4932" w:type="dxa"/>
            <w:gridSpan w:val="2"/>
            <w:shd w:val="clear" w:color="auto" w:fill="E5DFEC" w:themeFill="accent4" w:themeFillTint="33"/>
            <w:vAlign w:val="center"/>
          </w:tcPr>
          <w:p w14:paraId="0E5D1EDD" w14:textId="0930A120" w:rsidR="00844479" w:rsidRDefault="00844479">
            <w:pPr>
              <w:tabs>
                <w:tab w:val="left" w:pos="1307"/>
              </w:tabs>
              <w:jc w:val="center"/>
            </w:pPr>
            <w:r>
              <w:t>Projets phares hautement innovants dans les domaines visés permettant des réductions significatives de GES</w:t>
            </w:r>
          </w:p>
        </w:tc>
      </w:tr>
    </w:tbl>
    <w:p w14:paraId="2E65790B" w14:textId="71E9AE42" w:rsidR="00932D39" w:rsidRDefault="00932D39">
      <w:pPr>
        <w:pBdr>
          <w:top w:val="nil"/>
          <w:left w:val="nil"/>
          <w:bottom w:val="nil"/>
          <w:right w:val="nil"/>
          <w:between w:val="nil"/>
        </w:pBdr>
      </w:pPr>
    </w:p>
    <w:p w14:paraId="2CCF117D" w14:textId="5CD81A68" w:rsidR="00844479" w:rsidRDefault="00530D1B" w:rsidP="00530D1B">
      <w:pPr>
        <w:pBdr>
          <w:top w:val="nil"/>
          <w:left w:val="nil"/>
          <w:bottom w:val="nil"/>
          <w:right w:val="nil"/>
          <w:between w:val="nil"/>
        </w:pBdr>
        <w:jc w:val="both"/>
      </w:pPr>
      <w:r>
        <w:t xml:space="preserve">Le Fonds pour l’innovation finance des </w:t>
      </w:r>
      <w:r w:rsidRPr="000C638C">
        <w:rPr>
          <w:b/>
          <w:bCs/>
        </w:rPr>
        <w:t>projets de développement d’innovations technologiques</w:t>
      </w:r>
      <w:r>
        <w:t xml:space="preserve">, permettant des </w:t>
      </w:r>
      <w:r w:rsidRPr="000C638C">
        <w:rPr>
          <w:b/>
          <w:bCs/>
        </w:rPr>
        <w:t>réductions significatives de gaz à effet de serre</w:t>
      </w:r>
      <w:r>
        <w:t xml:space="preserve"> dans les industries à forte intensité énergétique, les énergies renouvelables, le captage, l’utilisation et stockage du carbone ainsi que le stockage de l’énergie. Il s’adresse aux </w:t>
      </w:r>
      <w:r w:rsidRPr="000C638C">
        <w:rPr>
          <w:b/>
          <w:bCs/>
        </w:rPr>
        <w:t>innovations technologiques suffisamment matures</w:t>
      </w:r>
      <w:r>
        <w:t xml:space="preserve"> pour être mises sur le marché pendant la durée du projet (se référer à la description du type de projets ci-après).</w:t>
      </w:r>
    </w:p>
    <w:p w14:paraId="1F410EB3" w14:textId="5EAD6BC0" w:rsidR="00530D1B" w:rsidRDefault="00530D1B" w:rsidP="00530D1B">
      <w:pPr>
        <w:pBdr>
          <w:top w:val="nil"/>
          <w:left w:val="nil"/>
          <w:bottom w:val="nil"/>
          <w:right w:val="nil"/>
          <w:between w:val="nil"/>
        </w:pBdr>
        <w:jc w:val="both"/>
      </w:pPr>
      <w:r>
        <w:t xml:space="preserve">Dans la pratique, il s’agit souvent de projets portés en général par des groupes industriels de taille importante, toutefois, le programme publie également des appels pour les projets de petite échelle qui peuvent concerner des ETI ou des PME. </w:t>
      </w:r>
    </w:p>
    <w:p w14:paraId="088E6BDD" w14:textId="52FF76D1" w:rsidR="00530D1B" w:rsidRDefault="00530D1B" w:rsidP="00530D1B">
      <w:pPr>
        <w:pBdr>
          <w:top w:val="nil"/>
          <w:left w:val="nil"/>
          <w:bottom w:val="nil"/>
          <w:right w:val="nil"/>
          <w:between w:val="nil"/>
        </w:pBdr>
        <w:jc w:val="both"/>
      </w:pPr>
      <w:r>
        <w:t xml:space="preserve">En fonction de la catégorie de projets (de grande ou petite échelle), </w:t>
      </w:r>
      <w:r w:rsidRPr="000C638C">
        <w:rPr>
          <w:b/>
          <w:bCs/>
        </w:rPr>
        <w:t>l’assiette de coûts éligibles à un appui du Fonds pour l’innovation varie</w:t>
      </w:r>
      <w:r>
        <w:rPr>
          <w:b/>
          <w:bCs/>
        </w:rPr>
        <w:t xml:space="preserve">. </w:t>
      </w:r>
      <w:r>
        <w:t>Il peut s’agir de la différence entre les coûts d’investissement pour le projet par rapport à un scénario de référence, ou des coûts d’investissement eux-mêmes</w:t>
      </w:r>
      <w:r w:rsidRPr="000C638C">
        <w:rPr>
          <w:b/>
          <w:bCs/>
        </w:rPr>
        <w:t xml:space="preserve"> </w:t>
      </w:r>
      <w:r>
        <w:t>(se référer à la description du type de projets ci-après).</w:t>
      </w:r>
    </w:p>
    <w:p w14:paraId="057EF0D4" w14:textId="77777777" w:rsidR="00844479" w:rsidRDefault="00844479">
      <w:pPr>
        <w:pBdr>
          <w:top w:val="nil"/>
          <w:left w:val="nil"/>
          <w:bottom w:val="nil"/>
          <w:right w:val="nil"/>
          <w:between w:val="nil"/>
        </w:pBdr>
      </w:pPr>
    </w:p>
    <w:p w14:paraId="05E1567E" w14:textId="77777777"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30BFDBCB" w14:textId="77777777" w:rsidR="00CC781C" w:rsidRDefault="001A7E09" w:rsidP="001A7E09">
      <w:pPr>
        <w:pBdr>
          <w:top w:val="nil"/>
          <w:left w:val="nil"/>
          <w:bottom w:val="nil"/>
          <w:right w:val="nil"/>
          <w:between w:val="nil"/>
        </w:pBdr>
        <w:jc w:val="both"/>
      </w:pPr>
      <w:r>
        <w:t xml:space="preserve">Le premier objectif du SRADDET de la Région Grand Est </w:t>
      </w:r>
      <w:proofErr w:type="spellStart"/>
      <w:r>
        <w:t>est</w:t>
      </w:r>
      <w:proofErr w:type="spellEnd"/>
      <w:r>
        <w:t xml:space="preserve"> de « </w:t>
      </w:r>
      <w:r>
        <w:rPr>
          <w:i/>
          <w:iCs/>
        </w:rPr>
        <w:t>Devenir une région à énergie positive et bas-carbone à horizon 2050</w:t>
      </w:r>
      <w:r>
        <w:t> », ce qui nécessite notamment d’augmenter significativement la production d’énergies renouvelables sur le territoire et d’améliorer l’efficacité énergétique des entreprises du Grand Est.</w:t>
      </w:r>
      <w:r w:rsidR="002F469B">
        <w:t xml:space="preserve"> Le Grand Est a en effet pour particularité d’être la deuxième région industrielle de France, avec un secteur industriel représentant 29% des consommations énergétiques du territoire.</w:t>
      </w:r>
    </w:p>
    <w:p w14:paraId="4B5FC12E" w14:textId="77777777" w:rsidR="001A7E09" w:rsidRDefault="001A7E09" w:rsidP="001A7E09">
      <w:pPr>
        <w:pBdr>
          <w:top w:val="nil"/>
          <w:left w:val="nil"/>
          <w:bottom w:val="nil"/>
          <w:right w:val="nil"/>
          <w:between w:val="nil"/>
        </w:pBdr>
        <w:jc w:val="both"/>
      </w:pPr>
    </w:p>
    <w:p w14:paraId="3382D1A9" w14:textId="77777777" w:rsidR="001A7E09" w:rsidRPr="001A7E09" w:rsidRDefault="001A7E09" w:rsidP="001A7E09">
      <w:pPr>
        <w:pBdr>
          <w:top w:val="nil"/>
          <w:left w:val="nil"/>
          <w:bottom w:val="nil"/>
          <w:right w:val="nil"/>
          <w:between w:val="nil"/>
        </w:pBdr>
        <w:jc w:val="both"/>
      </w:pPr>
      <w:r>
        <w:t xml:space="preserve">Le Fonds pour l’innovation, ou </w:t>
      </w:r>
      <w:r>
        <w:rPr>
          <w:i/>
          <w:iCs/>
        </w:rPr>
        <w:t xml:space="preserve">Innovation </w:t>
      </w:r>
      <w:proofErr w:type="spellStart"/>
      <w:r>
        <w:rPr>
          <w:i/>
          <w:iCs/>
        </w:rPr>
        <w:t>Fund</w:t>
      </w:r>
      <w:proofErr w:type="spellEnd"/>
      <w:r>
        <w:t>,</w:t>
      </w:r>
      <w:r w:rsidR="009B7D2B">
        <w:t xml:space="preserve"> finance </w:t>
      </w:r>
      <w:r w:rsidR="00210B45">
        <w:t xml:space="preserve">notamment </w:t>
      </w:r>
      <w:r w:rsidR="009B7D2B">
        <w:t>le développement de solutions technologiques innovantes bas-carbone</w:t>
      </w:r>
      <w:r w:rsidR="00210B45">
        <w:t xml:space="preserve"> </w:t>
      </w:r>
      <w:r w:rsidR="009B7D2B">
        <w:t>pour les industries à forte consommation d’énergie</w:t>
      </w:r>
      <w:r w:rsidR="006606B9">
        <w:t xml:space="preserve"> </w:t>
      </w:r>
      <w:r w:rsidR="00210B45">
        <w:t>ainsi que</w:t>
      </w:r>
      <w:r w:rsidR="009B7D2B">
        <w:t xml:space="preserve"> le </w:t>
      </w:r>
      <w:r w:rsidR="009B7D2B">
        <w:lastRenderedPageBreak/>
        <w:t xml:space="preserve">développement des énergies renouvelables. Il a donc été </w:t>
      </w:r>
      <w:r w:rsidR="002F469B">
        <w:t>identifié comme pertinent pour répondre aux grands enjeux liés aux</w:t>
      </w:r>
      <w:r w:rsidR="009B7D2B">
        <w:t xml:space="preserve"> </w:t>
      </w:r>
      <w:proofErr w:type="spellStart"/>
      <w:r w:rsidR="009B7D2B">
        <w:t>Energies</w:t>
      </w:r>
      <w:proofErr w:type="spellEnd"/>
      <w:r w:rsidR="009B7D2B">
        <w:t xml:space="preserve"> renouvelables et de récupération ainsi qu</w:t>
      </w:r>
      <w:r w:rsidR="002F469B">
        <w:t>’à</w:t>
      </w:r>
      <w:r w:rsidR="009B7D2B">
        <w:t xml:space="preserve"> la </w:t>
      </w:r>
      <w:proofErr w:type="spellStart"/>
      <w:r w:rsidR="009B7D2B">
        <w:t>Décarbonation</w:t>
      </w:r>
      <w:proofErr w:type="spellEnd"/>
      <w:r w:rsidR="009B7D2B">
        <w:t xml:space="preserve"> des entreprises</w:t>
      </w:r>
      <w:r w:rsidR="002F469B">
        <w:t xml:space="preserve"> dans le Grand Est.</w:t>
      </w:r>
    </w:p>
    <w:p w14:paraId="3CB212F7" w14:textId="77777777" w:rsidR="00932D39" w:rsidRDefault="00932D39" w:rsidP="00932D39">
      <w:pPr>
        <w:pStyle w:val="EnvTitreparagraphe"/>
        <w:numPr>
          <w:ilvl w:val="0"/>
          <w:numId w:val="8"/>
        </w:numPr>
        <w:rPr>
          <w:sz w:val="24"/>
          <w:szCs w:val="24"/>
        </w:rPr>
      </w:pPr>
      <w:r>
        <w:rPr>
          <w:sz w:val="24"/>
          <w:szCs w:val="24"/>
        </w:rPr>
        <w:t>Description du programme</w:t>
      </w:r>
    </w:p>
    <w:p w14:paraId="168E6E04" w14:textId="77777777" w:rsidR="00CC781C" w:rsidRDefault="00C01E4F">
      <w:pPr>
        <w:pStyle w:val="Titre1"/>
        <w:ind w:firstLine="360"/>
      </w:pPr>
      <w:sdt>
        <w:sdtPr>
          <w:tag w:val="goog_rdk_5"/>
          <w:id w:val="-1889330677"/>
        </w:sdtPr>
        <w:sdtEndPr/>
        <w:sdtContent/>
      </w:sdt>
      <w:r w:rsidR="008F7158">
        <w:t>Présentation générale</w:t>
      </w:r>
    </w:p>
    <w:p w14:paraId="711F5296" w14:textId="77777777" w:rsidR="00CC781C" w:rsidRDefault="00CC781C"/>
    <w:p w14:paraId="59B03B1A" w14:textId="77777777" w:rsidR="00993BCA" w:rsidRDefault="00993BCA" w:rsidP="00993BCA">
      <w:pPr>
        <w:pBdr>
          <w:top w:val="nil"/>
          <w:left w:val="nil"/>
          <w:bottom w:val="nil"/>
          <w:right w:val="nil"/>
          <w:between w:val="nil"/>
        </w:pBdr>
        <w:tabs>
          <w:tab w:val="left" w:pos="1307"/>
        </w:tabs>
        <w:jc w:val="both"/>
      </w:pPr>
      <w:r>
        <w:t xml:space="preserve">Lancé en 2020, le Fonds pour l’innovation est le successeur du programme NER300. Il finance des projets de </w:t>
      </w:r>
      <w:r w:rsidRPr="006606B9">
        <w:rPr>
          <w:b/>
          <w:bCs/>
        </w:rPr>
        <w:t>démonstration commerciale de technologies innovantes bas-carbone</w:t>
      </w:r>
      <w:r>
        <w:t xml:space="preserve">, afin de mettre sur le marché des solutions industrielles innovantes pour </w:t>
      </w:r>
      <w:proofErr w:type="spellStart"/>
      <w:r>
        <w:t>décarboner</w:t>
      </w:r>
      <w:proofErr w:type="spellEnd"/>
      <w:r>
        <w:t xml:space="preserve"> l’Europe et soutenir la transition vers la neutralité climatique. </w:t>
      </w:r>
      <w:r w:rsidR="006606B9">
        <w:t xml:space="preserve">Il finance des technologies hautement innovantes </w:t>
      </w:r>
      <w:r w:rsidR="00210B45">
        <w:t>se concrétisant dans de</w:t>
      </w:r>
      <w:r w:rsidR="006606B9">
        <w:t xml:space="preserve"> </w:t>
      </w:r>
      <w:r w:rsidR="006606B9" w:rsidRPr="006606B9">
        <w:rPr>
          <w:b/>
          <w:bCs/>
        </w:rPr>
        <w:t xml:space="preserve">grands projets phares en Europe, inédits et dotés d’un impact de réduction </w:t>
      </w:r>
      <w:r w:rsidR="006606B9" w:rsidRPr="00210B45">
        <w:rPr>
          <w:b/>
          <w:bCs/>
        </w:rPr>
        <w:t>d’émissions significatif</w:t>
      </w:r>
      <w:r w:rsidR="006606B9">
        <w:t>, dans les domaines suivants :</w:t>
      </w:r>
    </w:p>
    <w:p w14:paraId="58D842F7" w14:textId="77777777" w:rsidR="00993BCA" w:rsidRDefault="00993BCA" w:rsidP="00370F32">
      <w:pPr>
        <w:pStyle w:val="Paragraphedeliste"/>
        <w:numPr>
          <w:ilvl w:val="0"/>
          <w:numId w:val="18"/>
        </w:numPr>
        <w:pBdr>
          <w:top w:val="nil"/>
          <w:left w:val="nil"/>
          <w:bottom w:val="nil"/>
          <w:right w:val="nil"/>
          <w:between w:val="nil"/>
        </w:pBdr>
        <w:tabs>
          <w:tab w:val="left" w:pos="1307"/>
        </w:tabs>
        <w:jc w:val="both"/>
      </w:pPr>
      <w:r>
        <w:t>Les technologies et processus innovants à faible intensité de carbone dans les industries à forte intensité énergétique, y compris les produits de substitution aux produits à forte intensité de carbone</w:t>
      </w:r>
    </w:p>
    <w:p w14:paraId="7B8DD47E" w14:textId="77777777" w:rsidR="00993BCA" w:rsidRDefault="00993BCA" w:rsidP="00370F32">
      <w:pPr>
        <w:pStyle w:val="Paragraphedeliste"/>
        <w:numPr>
          <w:ilvl w:val="0"/>
          <w:numId w:val="18"/>
        </w:numPr>
        <w:pBdr>
          <w:top w:val="nil"/>
          <w:left w:val="nil"/>
          <w:bottom w:val="nil"/>
          <w:right w:val="nil"/>
          <w:between w:val="nil"/>
        </w:pBdr>
        <w:tabs>
          <w:tab w:val="left" w:pos="1307"/>
        </w:tabs>
        <w:jc w:val="both"/>
      </w:pPr>
      <w:r>
        <w:t>La production innovante d'énergie renouvelable</w:t>
      </w:r>
    </w:p>
    <w:p w14:paraId="0B1DF304" w14:textId="77777777" w:rsidR="00993BCA" w:rsidRDefault="00993BCA" w:rsidP="00370F32">
      <w:pPr>
        <w:pStyle w:val="Paragraphedeliste"/>
        <w:numPr>
          <w:ilvl w:val="0"/>
          <w:numId w:val="18"/>
        </w:numPr>
        <w:pBdr>
          <w:top w:val="nil"/>
          <w:left w:val="nil"/>
          <w:bottom w:val="nil"/>
          <w:right w:val="nil"/>
          <w:between w:val="nil"/>
        </w:pBdr>
        <w:tabs>
          <w:tab w:val="left" w:pos="1307"/>
        </w:tabs>
        <w:jc w:val="both"/>
      </w:pPr>
      <w:r>
        <w:t>Le captage et l'utilisation du carbone (CCU)</w:t>
      </w:r>
    </w:p>
    <w:p w14:paraId="1700A311" w14:textId="77777777" w:rsidR="00993BCA" w:rsidRDefault="00993BCA" w:rsidP="00370F32">
      <w:pPr>
        <w:pStyle w:val="Paragraphedeliste"/>
        <w:numPr>
          <w:ilvl w:val="0"/>
          <w:numId w:val="18"/>
        </w:numPr>
        <w:pBdr>
          <w:top w:val="nil"/>
          <w:left w:val="nil"/>
          <w:bottom w:val="nil"/>
          <w:right w:val="nil"/>
          <w:between w:val="nil"/>
        </w:pBdr>
        <w:tabs>
          <w:tab w:val="left" w:pos="1307"/>
        </w:tabs>
        <w:jc w:val="both"/>
      </w:pPr>
      <w:r>
        <w:t>La construction et l'exploitation de systèmes de captage et de stockage du carbone (CSC)</w:t>
      </w:r>
    </w:p>
    <w:p w14:paraId="0E7C8903" w14:textId="77777777" w:rsidR="00993BCA" w:rsidRDefault="00993BCA" w:rsidP="00370F32">
      <w:pPr>
        <w:pStyle w:val="Paragraphedeliste"/>
        <w:numPr>
          <w:ilvl w:val="0"/>
          <w:numId w:val="18"/>
        </w:numPr>
        <w:pBdr>
          <w:top w:val="nil"/>
          <w:left w:val="nil"/>
          <w:bottom w:val="nil"/>
          <w:right w:val="nil"/>
          <w:between w:val="nil"/>
        </w:pBdr>
        <w:tabs>
          <w:tab w:val="left" w:pos="1307"/>
        </w:tabs>
        <w:jc w:val="both"/>
      </w:pPr>
      <w:r>
        <w:t>Le stockage de l'énergie.</w:t>
      </w:r>
    </w:p>
    <w:p w14:paraId="5AA0F6A7" w14:textId="77777777" w:rsidR="006606B9" w:rsidRDefault="00993BCA" w:rsidP="00993BCA">
      <w:pPr>
        <w:pBdr>
          <w:top w:val="nil"/>
          <w:left w:val="nil"/>
          <w:bottom w:val="nil"/>
          <w:right w:val="nil"/>
          <w:between w:val="nil"/>
        </w:pBdr>
        <w:tabs>
          <w:tab w:val="left" w:pos="1307"/>
        </w:tabs>
        <w:ind w:left="142"/>
        <w:jc w:val="both"/>
      </w:pPr>
      <w:r>
        <w:t>Ses ressources financières proviennent du système d’échange quotas d’émission de l’Union européenne (EU ETS), aussi son enveloppe budgétaire dépendra chaque année du prix du carbone</w:t>
      </w:r>
      <w:r w:rsidR="006606B9">
        <w:t>, mais elle est pour le moment estimée à 10 milliards € pour la période 2020-2030, l’appel de l’année 2020 étant doté d’une enveloppe d’environ 1 milliard €</w:t>
      </w:r>
      <w:r w:rsidR="0050528A">
        <w:t xml:space="preserve"> pour les projets à grande échelle et de 100 000 000 € pour les projets à petite échelle.</w:t>
      </w:r>
    </w:p>
    <w:p w14:paraId="6C235834" w14:textId="77777777" w:rsidR="00C70C48" w:rsidRDefault="00C70C48" w:rsidP="00993BCA">
      <w:pPr>
        <w:pBdr>
          <w:top w:val="nil"/>
          <w:left w:val="nil"/>
          <w:bottom w:val="nil"/>
          <w:right w:val="nil"/>
          <w:between w:val="nil"/>
        </w:pBdr>
        <w:tabs>
          <w:tab w:val="left" w:pos="1307"/>
        </w:tabs>
        <w:ind w:left="142"/>
        <w:jc w:val="both"/>
      </w:pPr>
    </w:p>
    <w:p w14:paraId="22FBC68B" w14:textId="77777777" w:rsidR="00C70C48" w:rsidRPr="00C70C48" w:rsidRDefault="00C70C48" w:rsidP="00993BCA">
      <w:pPr>
        <w:pBdr>
          <w:top w:val="nil"/>
          <w:left w:val="nil"/>
          <w:bottom w:val="nil"/>
          <w:right w:val="nil"/>
          <w:between w:val="nil"/>
        </w:pBdr>
        <w:tabs>
          <w:tab w:val="left" w:pos="1307"/>
        </w:tabs>
        <w:ind w:left="142"/>
        <w:jc w:val="both"/>
      </w:pPr>
      <w:r>
        <w:t xml:space="preserve">Le Fonds pour l’innovation se distingue de NER300 par un processus de sélection simplifié et </w:t>
      </w:r>
      <w:r w:rsidRPr="009C20E2">
        <w:rPr>
          <w:b/>
          <w:bCs/>
        </w:rPr>
        <w:t xml:space="preserve">en </w:t>
      </w:r>
      <w:r>
        <w:rPr>
          <w:b/>
          <w:bCs/>
        </w:rPr>
        <w:t>s’ouvrant aux projets issus des industries à forte intensité énergétique</w:t>
      </w:r>
      <w:r>
        <w:t>.</w:t>
      </w:r>
    </w:p>
    <w:p w14:paraId="2FFC7B85" w14:textId="77777777" w:rsidR="006606B9" w:rsidRDefault="006606B9" w:rsidP="00993BCA">
      <w:pPr>
        <w:pBdr>
          <w:top w:val="nil"/>
          <w:left w:val="nil"/>
          <w:bottom w:val="nil"/>
          <w:right w:val="nil"/>
          <w:between w:val="nil"/>
        </w:pBdr>
        <w:tabs>
          <w:tab w:val="left" w:pos="1307"/>
        </w:tabs>
        <w:ind w:left="142"/>
        <w:jc w:val="both"/>
      </w:pPr>
    </w:p>
    <w:p w14:paraId="041B5990" w14:textId="77777777" w:rsidR="00993BCA" w:rsidRDefault="006606B9" w:rsidP="00993BCA">
      <w:pPr>
        <w:pBdr>
          <w:top w:val="nil"/>
          <w:left w:val="nil"/>
          <w:bottom w:val="nil"/>
          <w:right w:val="nil"/>
          <w:between w:val="nil"/>
        </w:pBdr>
        <w:tabs>
          <w:tab w:val="left" w:pos="1307"/>
        </w:tabs>
        <w:ind w:left="142"/>
        <w:jc w:val="both"/>
      </w:pPr>
      <w:r>
        <w:t xml:space="preserve">L’appui financier qu’il apporte prend la forme de </w:t>
      </w:r>
      <w:r w:rsidRPr="006606B9">
        <w:rPr>
          <w:b/>
          <w:bCs/>
        </w:rPr>
        <w:t>subventions</w:t>
      </w:r>
      <w:r>
        <w:t>, dont le calcul dépend du type de projet (</w:t>
      </w:r>
      <w:r w:rsidR="00111493">
        <w:t>projet à petite ou à grande échelle –</w:t>
      </w:r>
      <w:r>
        <w:t xml:space="preserve"> se</w:t>
      </w:r>
      <w:r w:rsidR="00111493">
        <w:t xml:space="preserve"> </w:t>
      </w:r>
      <w:r>
        <w:t>référer à la section « Types de projets éligibles »).</w:t>
      </w:r>
    </w:p>
    <w:p w14:paraId="28479E4A" w14:textId="77777777" w:rsidR="00A26445" w:rsidRDefault="00A26445" w:rsidP="00993BCA">
      <w:pPr>
        <w:pBdr>
          <w:top w:val="nil"/>
          <w:left w:val="nil"/>
          <w:bottom w:val="nil"/>
          <w:right w:val="nil"/>
          <w:between w:val="nil"/>
        </w:pBdr>
        <w:tabs>
          <w:tab w:val="left" w:pos="1307"/>
        </w:tabs>
        <w:ind w:left="142"/>
        <w:jc w:val="both"/>
      </w:pPr>
    </w:p>
    <w:p w14:paraId="5E904077" w14:textId="77777777" w:rsidR="00A26445" w:rsidRDefault="00A26445" w:rsidP="00993BCA">
      <w:pPr>
        <w:pBdr>
          <w:top w:val="nil"/>
          <w:left w:val="nil"/>
          <w:bottom w:val="nil"/>
          <w:right w:val="nil"/>
          <w:between w:val="nil"/>
        </w:pBdr>
        <w:tabs>
          <w:tab w:val="left" w:pos="1307"/>
        </w:tabs>
        <w:ind w:left="142"/>
        <w:jc w:val="both"/>
      </w:pPr>
      <w:r>
        <w:t>Le Fonds pour l’innovation est géré par la Commission européenne qui est appuyée pour cela par :</w:t>
      </w:r>
    </w:p>
    <w:p w14:paraId="5F060F49" w14:textId="77777777" w:rsidR="00A26445" w:rsidRDefault="00A26445" w:rsidP="00370F32">
      <w:pPr>
        <w:pStyle w:val="Paragraphedeliste"/>
        <w:numPr>
          <w:ilvl w:val="0"/>
          <w:numId w:val="19"/>
        </w:numPr>
        <w:pBdr>
          <w:top w:val="nil"/>
          <w:left w:val="nil"/>
          <w:bottom w:val="nil"/>
          <w:right w:val="nil"/>
          <w:between w:val="nil"/>
        </w:pBdr>
        <w:tabs>
          <w:tab w:val="left" w:pos="1307"/>
        </w:tabs>
        <w:ind w:left="709"/>
        <w:jc w:val="both"/>
      </w:pPr>
      <w:r>
        <w:t>L’agence de la Commission européenne CINEA (</w:t>
      </w:r>
      <w:proofErr w:type="spellStart"/>
      <w:r w:rsidRPr="00A26445">
        <w:rPr>
          <w:i/>
          <w:iCs/>
        </w:rPr>
        <w:t>European</w:t>
      </w:r>
      <w:proofErr w:type="spellEnd"/>
      <w:r w:rsidRPr="00A26445">
        <w:rPr>
          <w:i/>
          <w:iCs/>
        </w:rPr>
        <w:t xml:space="preserve"> </w:t>
      </w:r>
      <w:proofErr w:type="spellStart"/>
      <w:r w:rsidRPr="00A26445">
        <w:rPr>
          <w:i/>
          <w:iCs/>
        </w:rPr>
        <w:t>Climate</w:t>
      </w:r>
      <w:proofErr w:type="spellEnd"/>
      <w:r w:rsidRPr="00A26445">
        <w:rPr>
          <w:i/>
          <w:iCs/>
        </w:rPr>
        <w:t xml:space="preserve">, Infrastructure and </w:t>
      </w:r>
      <w:proofErr w:type="spellStart"/>
      <w:r w:rsidRPr="00A26445">
        <w:rPr>
          <w:i/>
          <w:iCs/>
        </w:rPr>
        <w:t>Environment</w:t>
      </w:r>
      <w:proofErr w:type="spellEnd"/>
      <w:r w:rsidRPr="00A26445">
        <w:rPr>
          <w:i/>
          <w:iCs/>
        </w:rPr>
        <w:t xml:space="preserve"> </w:t>
      </w:r>
      <w:proofErr w:type="spellStart"/>
      <w:r w:rsidRPr="00A26445">
        <w:rPr>
          <w:i/>
          <w:iCs/>
        </w:rPr>
        <w:t>Executive</w:t>
      </w:r>
      <w:proofErr w:type="spellEnd"/>
      <w:r w:rsidRPr="00A26445">
        <w:rPr>
          <w:i/>
          <w:iCs/>
        </w:rPr>
        <w:t xml:space="preserve"> Agency</w:t>
      </w:r>
      <w:r>
        <w:t xml:space="preserve">) : en charge de la gestion des appels à projets, de répondre aux questions des candidats et de </w:t>
      </w:r>
      <w:r w:rsidR="00B216CD">
        <w:t>suivre</w:t>
      </w:r>
      <w:r>
        <w:t xml:space="preserve"> la mise en œuvre des projets.</w:t>
      </w:r>
    </w:p>
    <w:p w14:paraId="06855F9B" w14:textId="77777777" w:rsidR="00A26445" w:rsidRPr="006606B9" w:rsidRDefault="00A26445" w:rsidP="00370F32">
      <w:pPr>
        <w:pStyle w:val="Paragraphedeliste"/>
        <w:numPr>
          <w:ilvl w:val="0"/>
          <w:numId w:val="19"/>
        </w:numPr>
        <w:pBdr>
          <w:top w:val="nil"/>
          <w:left w:val="nil"/>
          <w:bottom w:val="nil"/>
          <w:right w:val="nil"/>
          <w:between w:val="nil"/>
        </w:pBdr>
        <w:tabs>
          <w:tab w:val="left" w:pos="1307"/>
        </w:tabs>
        <w:ind w:left="709"/>
        <w:jc w:val="both"/>
      </w:pPr>
      <w:r>
        <w:t>La Banque européenne d’investissement</w:t>
      </w:r>
      <w:r w:rsidR="00B216CD">
        <w:t> :</w:t>
      </w:r>
      <w:r>
        <w:t xml:space="preserve"> responsable du service d’assistance au développement du projet (PDA) que peuvent solliciter certains porteurs de projets (se référer à la section</w:t>
      </w:r>
      <w:r w:rsidR="00C336A2">
        <w:t xml:space="preserve"> dédiée</w:t>
      </w:r>
      <w:r>
        <w:t>).</w:t>
      </w:r>
    </w:p>
    <w:p w14:paraId="45B168FE" w14:textId="77777777" w:rsidR="00CC781C" w:rsidRDefault="008F7158">
      <w:pPr>
        <w:pStyle w:val="Titre1"/>
        <w:ind w:firstLine="360"/>
      </w:pPr>
      <w:r>
        <w:t>Types de projets éligibles</w:t>
      </w:r>
    </w:p>
    <w:p w14:paraId="4215AE24" w14:textId="77777777" w:rsidR="00CC781C" w:rsidRDefault="00CC781C">
      <w:pPr>
        <w:tabs>
          <w:tab w:val="left" w:pos="1307"/>
        </w:tabs>
        <w:jc w:val="both"/>
      </w:pPr>
    </w:p>
    <w:p w14:paraId="54C67B0F" w14:textId="77777777" w:rsidR="00370F32" w:rsidRDefault="00370F32">
      <w:pPr>
        <w:tabs>
          <w:tab w:val="left" w:pos="1307"/>
        </w:tabs>
        <w:jc w:val="both"/>
      </w:pPr>
      <w:r w:rsidRPr="00552DB9">
        <w:rPr>
          <w:b/>
          <w:bCs/>
        </w:rPr>
        <w:t xml:space="preserve">Les activités </w:t>
      </w:r>
      <w:r w:rsidR="008C767D" w:rsidRPr="00552DB9">
        <w:rPr>
          <w:b/>
          <w:bCs/>
        </w:rPr>
        <w:t>financées</w:t>
      </w:r>
      <w:r>
        <w:t xml:space="preserve"> par le Fonds pour l’innovation sont :</w:t>
      </w:r>
    </w:p>
    <w:p w14:paraId="5D6BE270" w14:textId="1859EB0A" w:rsidR="00370F32" w:rsidRDefault="008C767D" w:rsidP="00370F32">
      <w:pPr>
        <w:pStyle w:val="Paragraphedeliste"/>
        <w:numPr>
          <w:ilvl w:val="0"/>
          <w:numId w:val="22"/>
        </w:numPr>
        <w:tabs>
          <w:tab w:val="left" w:pos="1307"/>
        </w:tabs>
        <w:jc w:val="both"/>
      </w:pPr>
      <w:r>
        <w:t>Le développement de</w:t>
      </w:r>
      <w:r w:rsidR="00370F32">
        <w:t xml:space="preserve"> </w:t>
      </w:r>
      <w:r w:rsidR="00370F32" w:rsidRPr="00C93CA0">
        <w:rPr>
          <w:b/>
          <w:bCs/>
        </w:rPr>
        <w:t xml:space="preserve">technologies et processus innovants à faible émission de carbone dans les secteurs </w:t>
      </w:r>
      <w:r w:rsidR="00370F32">
        <w:t xml:space="preserve">énumérés à </w:t>
      </w:r>
      <w:hyperlink r:id="rId10" w:history="1">
        <w:r w:rsidR="00370F32" w:rsidRPr="00937A0D">
          <w:rPr>
            <w:rStyle w:val="Lienhypertexte"/>
          </w:rPr>
          <w:t>l'annexe I de la directive SCEQE</w:t>
        </w:r>
      </w:hyperlink>
      <w:r w:rsidR="00370F32">
        <w:t>, à savoir</w:t>
      </w:r>
      <w:r w:rsidR="00937A0D">
        <w:rPr>
          <w:rStyle w:val="Appelnotedebasdep"/>
        </w:rPr>
        <w:footnoteReference w:id="1"/>
      </w:r>
      <w:r w:rsidR="00370F32">
        <w:t> :</w:t>
      </w:r>
    </w:p>
    <w:p w14:paraId="0EDAC36C" w14:textId="77777777" w:rsidR="00370F32" w:rsidRDefault="00370F32" w:rsidP="00937A0D">
      <w:pPr>
        <w:pStyle w:val="Paragraphedeliste"/>
        <w:numPr>
          <w:ilvl w:val="1"/>
          <w:numId w:val="22"/>
        </w:numPr>
        <w:tabs>
          <w:tab w:val="left" w:pos="1134"/>
        </w:tabs>
        <w:jc w:val="both"/>
      </w:pPr>
      <w:r>
        <w:t>Activités énergétiques </w:t>
      </w:r>
      <w:r w:rsidR="00937A0D">
        <w:t>(</w:t>
      </w:r>
      <w:r>
        <w:t>installation de combus</w:t>
      </w:r>
      <w:r w:rsidR="00937A0D">
        <w:t>tion, raffineries d’huile minérale, fours à cokéfaction) ;</w:t>
      </w:r>
    </w:p>
    <w:p w14:paraId="7987CCD0" w14:textId="77777777" w:rsidR="00937A0D" w:rsidRDefault="00937A0D" w:rsidP="00937A0D">
      <w:pPr>
        <w:pStyle w:val="Paragraphedeliste"/>
        <w:numPr>
          <w:ilvl w:val="1"/>
          <w:numId w:val="22"/>
        </w:numPr>
        <w:tabs>
          <w:tab w:val="left" w:pos="1418"/>
        </w:tabs>
        <w:jc w:val="both"/>
      </w:pPr>
      <w:r>
        <w:t>Production et transformation des métaux ferreux ;</w:t>
      </w:r>
    </w:p>
    <w:p w14:paraId="69C94BCF" w14:textId="77777777" w:rsidR="00937A0D" w:rsidRDefault="00937A0D" w:rsidP="00937A0D">
      <w:pPr>
        <w:pStyle w:val="Paragraphedeliste"/>
        <w:numPr>
          <w:ilvl w:val="1"/>
          <w:numId w:val="22"/>
        </w:numPr>
        <w:tabs>
          <w:tab w:val="left" w:pos="1418"/>
        </w:tabs>
        <w:jc w:val="both"/>
      </w:pPr>
      <w:r>
        <w:t>Industrie des minéraux (ciment, verre, céramique) ;</w:t>
      </w:r>
    </w:p>
    <w:p w14:paraId="6A6E34F7" w14:textId="77777777" w:rsidR="00937A0D" w:rsidRDefault="00937A0D" w:rsidP="00937A0D">
      <w:pPr>
        <w:pStyle w:val="Paragraphedeliste"/>
        <w:numPr>
          <w:ilvl w:val="1"/>
          <w:numId w:val="22"/>
        </w:numPr>
        <w:tabs>
          <w:tab w:val="left" w:pos="1418"/>
        </w:tabs>
        <w:jc w:val="both"/>
      </w:pPr>
      <w:r>
        <w:lastRenderedPageBreak/>
        <w:t>Autres (bois, papier).</w:t>
      </w:r>
    </w:p>
    <w:p w14:paraId="20F2CFBC" w14:textId="77777777" w:rsidR="00937A0D" w:rsidRDefault="00937A0D" w:rsidP="00937A0D">
      <w:pPr>
        <w:tabs>
          <w:tab w:val="left" w:pos="1418"/>
        </w:tabs>
        <w:ind w:left="720"/>
        <w:jc w:val="both"/>
      </w:pPr>
      <w:r>
        <w:t xml:space="preserve">Y compris le </w:t>
      </w:r>
      <w:r w:rsidRPr="009C20E2">
        <w:rPr>
          <w:b/>
          <w:bCs/>
        </w:rPr>
        <w:t>captage et l’utilisation du</w:t>
      </w:r>
      <w:r>
        <w:t xml:space="preserve"> carbone ainsi que le</w:t>
      </w:r>
      <w:r w:rsidR="00C93CA0">
        <w:t xml:space="preserve"> développement de</w:t>
      </w:r>
      <w:r>
        <w:t xml:space="preserve"> </w:t>
      </w:r>
      <w:r w:rsidRPr="009C20E2">
        <w:rPr>
          <w:b/>
          <w:bCs/>
        </w:rPr>
        <w:t>produits</w:t>
      </w:r>
      <w:r w:rsidR="00C93CA0" w:rsidRPr="009C20E2">
        <w:rPr>
          <w:b/>
          <w:bCs/>
        </w:rPr>
        <w:t xml:space="preserve"> bas carbone</w:t>
      </w:r>
      <w:r w:rsidRPr="009C20E2">
        <w:rPr>
          <w:b/>
          <w:bCs/>
        </w:rPr>
        <w:t xml:space="preserve"> remplaçant</w:t>
      </w:r>
      <w:r>
        <w:t xml:space="preserve"> ceux produits dans les secteurs </w:t>
      </w:r>
      <w:proofErr w:type="spellStart"/>
      <w:r>
        <w:t>sus-cités</w:t>
      </w:r>
      <w:proofErr w:type="spellEnd"/>
      <w:r>
        <w:t> ;</w:t>
      </w:r>
    </w:p>
    <w:p w14:paraId="1E181745" w14:textId="77777777" w:rsidR="00937A0D" w:rsidRDefault="008C767D" w:rsidP="00937A0D">
      <w:pPr>
        <w:pStyle w:val="Paragraphedeliste"/>
        <w:numPr>
          <w:ilvl w:val="0"/>
          <w:numId w:val="23"/>
        </w:numPr>
        <w:tabs>
          <w:tab w:val="left" w:pos="1418"/>
        </w:tabs>
        <w:jc w:val="both"/>
      </w:pPr>
      <w:r>
        <w:t>La</w:t>
      </w:r>
      <w:r w:rsidR="00937A0D">
        <w:t xml:space="preserve"> construction et l’exploitation de projets visant le </w:t>
      </w:r>
      <w:r w:rsidR="00937A0D" w:rsidRPr="00C93CA0">
        <w:rPr>
          <w:b/>
          <w:bCs/>
        </w:rPr>
        <w:t>captage et le stockage géologique du CO2</w:t>
      </w:r>
      <w:r w:rsidR="00937A0D">
        <w:t xml:space="preserve"> en toute sécurité pour l’environnement ;</w:t>
      </w:r>
    </w:p>
    <w:p w14:paraId="1D417FD8" w14:textId="77777777" w:rsidR="00937A0D" w:rsidRDefault="008C767D" w:rsidP="00937A0D">
      <w:pPr>
        <w:pStyle w:val="Paragraphedeliste"/>
        <w:numPr>
          <w:ilvl w:val="0"/>
          <w:numId w:val="23"/>
        </w:numPr>
        <w:tabs>
          <w:tab w:val="left" w:pos="1418"/>
        </w:tabs>
        <w:jc w:val="both"/>
      </w:pPr>
      <w:r>
        <w:t>La</w:t>
      </w:r>
      <w:r w:rsidR="00937A0D">
        <w:t xml:space="preserve"> construction et l’exploitation de technologies innovantes en matière </w:t>
      </w:r>
      <w:r w:rsidR="00937A0D" w:rsidRPr="00C93CA0">
        <w:rPr>
          <w:b/>
          <w:bCs/>
        </w:rPr>
        <w:t>d’énergie renouvelable et de stockage de l’énergie</w:t>
      </w:r>
      <w:r w:rsidR="00937A0D">
        <w:t>.</w:t>
      </w:r>
    </w:p>
    <w:p w14:paraId="74D249C6" w14:textId="77777777" w:rsidR="007D2677" w:rsidRDefault="00B31CE8" w:rsidP="00B31CE8">
      <w:pPr>
        <w:tabs>
          <w:tab w:val="left" w:pos="1418"/>
        </w:tabs>
        <w:jc w:val="both"/>
      </w:pPr>
      <w:r>
        <w:t xml:space="preserve">Les projets recherchés sont </w:t>
      </w:r>
      <w:r w:rsidRPr="00B31CE8">
        <w:rPr>
          <w:b/>
          <w:bCs/>
        </w:rPr>
        <w:t>des projets déjà très matures technologiquement et financièrement</w:t>
      </w:r>
      <w:r>
        <w:t>, l’objectif étant la mise en service / la mise sur le marché de la solution innovante pendant la durée du projet.</w:t>
      </w:r>
      <w:r w:rsidR="007D2677">
        <w:t xml:space="preserve"> La solution innovante proposée au Fonds pour l’innovation doit déjà avoir été </w:t>
      </w:r>
      <w:r w:rsidR="007D2677" w:rsidRPr="007D2677">
        <w:t>déjà éprouvé</w:t>
      </w:r>
      <w:r w:rsidR="007D2677">
        <w:t>e</w:t>
      </w:r>
      <w:r w:rsidR="007D2677" w:rsidRPr="007D2677">
        <w:t xml:space="preserve"> dans des installations pilotes ou de démonstration</w:t>
      </w:r>
      <w:r w:rsidR="007D2677">
        <w:t>.</w:t>
      </w:r>
    </w:p>
    <w:p w14:paraId="426515A2" w14:textId="77777777" w:rsidR="007D2677" w:rsidRDefault="007D2677" w:rsidP="00B31CE8">
      <w:pPr>
        <w:tabs>
          <w:tab w:val="left" w:pos="1418"/>
        </w:tabs>
        <w:jc w:val="both"/>
      </w:pPr>
      <w:r>
        <w:t xml:space="preserve">Par ailleurs </w:t>
      </w:r>
      <w:r w:rsidRPr="007D2677">
        <w:rPr>
          <w:b/>
          <w:bCs/>
        </w:rPr>
        <w:t>le degré d’innovation attendu est un critère clef</w:t>
      </w:r>
      <w:r>
        <w:t xml:space="preserve"> pour la sélection des projets. Il est pour cela nécessaire de démontrer que le concept proposé par le projet se distingue bien de l’état de l’art au niveau européen. Le Fonds pour l’innovation vise des technologies qui ne sont pas encore disponibles sur le marché, tout à fait nouvelles et prêtes pour une démonstration à une échelle pré-commerciale.</w:t>
      </w:r>
    </w:p>
    <w:p w14:paraId="3AFBC67D" w14:textId="77777777" w:rsidR="00552DB9" w:rsidRDefault="00552DB9" w:rsidP="00CF74ED">
      <w:pPr>
        <w:pBdr>
          <w:top w:val="nil"/>
          <w:left w:val="nil"/>
          <w:bottom w:val="nil"/>
          <w:right w:val="nil"/>
          <w:between w:val="nil"/>
        </w:pBdr>
        <w:tabs>
          <w:tab w:val="left" w:pos="1307"/>
        </w:tabs>
        <w:jc w:val="both"/>
      </w:pPr>
    </w:p>
    <w:p w14:paraId="67FA6CB2" w14:textId="77777777" w:rsidR="00CF74ED" w:rsidRDefault="00CF74ED" w:rsidP="00CF74ED">
      <w:pPr>
        <w:pBdr>
          <w:top w:val="nil"/>
          <w:left w:val="nil"/>
          <w:bottom w:val="nil"/>
          <w:right w:val="nil"/>
          <w:between w:val="nil"/>
        </w:pBdr>
        <w:tabs>
          <w:tab w:val="left" w:pos="1307"/>
        </w:tabs>
        <w:jc w:val="both"/>
      </w:pPr>
      <w:r>
        <w:t>Les activités du projet doivent se dérouler sur le territoire de l’Union européenne, en Norvège ou en Islande.</w:t>
      </w:r>
    </w:p>
    <w:p w14:paraId="0D28C6DA" w14:textId="77777777" w:rsidR="00552DB9" w:rsidRDefault="00552DB9" w:rsidP="00CF74ED">
      <w:pPr>
        <w:pBdr>
          <w:top w:val="nil"/>
          <w:left w:val="nil"/>
          <w:bottom w:val="nil"/>
          <w:right w:val="nil"/>
          <w:between w:val="nil"/>
        </w:pBdr>
        <w:tabs>
          <w:tab w:val="left" w:pos="1307"/>
        </w:tabs>
        <w:jc w:val="both"/>
      </w:pPr>
    </w:p>
    <w:p w14:paraId="70615908" w14:textId="77777777" w:rsidR="00552DB9" w:rsidRPr="00552DB9" w:rsidRDefault="00552DB9" w:rsidP="00552DB9">
      <w:pPr>
        <w:pBdr>
          <w:top w:val="nil"/>
          <w:left w:val="nil"/>
          <w:bottom w:val="nil"/>
          <w:right w:val="nil"/>
          <w:between w:val="nil"/>
        </w:pBdr>
        <w:tabs>
          <w:tab w:val="left" w:pos="1307"/>
        </w:tabs>
        <w:jc w:val="both"/>
        <w:rPr>
          <w:b/>
          <w:bCs/>
        </w:rPr>
      </w:pPr>
      <w:r w:rsidRPr="00552DB9">
        <w:rPr>
          <w:b/>
          <w:bCs/>
        </w:rPr>
        <w:t>Dispositions relatives au partenariat :</w:t>
      </w:r>
    </w:p>
    <w:p w14:paraId="61A17ED1" w14:textId="77777777" w:rsidR="00552DB9" w:rsidRDefault="00552DB9" w:rsidP="00552DB9">
      <w:pPr>
        <w:pStyle w:val="Paragraphedeliste"/>
        <w:numPr>
          <w:ilvl w:val="0"/>
          <w:numId w:val="23"/>
        </w:numPr>
        <w:tabs>
          <w:tab w:val="left" w:pos="1418"/>
        </w:tabs>
        <w:jc w:val="both"/>
      </w:pPr>
      <w:r>
        <w:t>Le projet peut être porté par une organisation seule ou par un consortium de plusieurs organisations (sans limite particulière de nombre de partenaire</w:t>
      </w:r>
      <w:r w:rsidR="00E2633F">
        <w:t>s</w:t>
      </w:r>
      <w:r>
        <w:t>).</w:t>
      </w:r>
    </w:p>
    <w:p w14:paraId="0B8AFBF5" w14:textId="475AB8BB" w:rsidR="00552DB9" w:rsidRDefault="00552DB9" w:rsidP="00552DB9">
      <w:pPr>
        <w:pStyle w:val="Paragraphedeliste"/>
        <w:numPr>
          <w:ilvl w:val="0"/>
          <w:numId w:val="23"/>
        </w:numPr>
        <w:tabs>
          <w:tab w:val="left" w:pos="1418"/>
        </w:tabs>
        <w:jc w:val="both"/>
      </w:pPr>
      <w:r>
        <w:t xml:space="preserve">Il n’est pas nécessaire que le partenariat soit transnational si le projet est porté par plusieurs organisations. </w:t>
      </w:r>
      <w:r w:rsidR="0050503B">
        <w:t>Un projet financé par le Fonds pour l’innovation peut donc être purement national, qu’il soit porté par un</w:t>
      </w:r>
      <w:r w:rsidR="00530D1B">
        <w:t>e ou plusieurs organisations.</w:t>
      </w:r>
    </w:p>
    <w:p w14:paraId="6DF0AC49" w14:textId="77777777" w:rsidR="00552DB9" w:rsidRDefault="00552DB9" w:rsidP="00552DB9">
      <w:pPr>
        <w:pStyle w:val="Paragraphedeliste"/>
        <w:numPr>
          <w:ilvl w:val="0"/>
          <w:numId w:val="23"/>
        </w:numPr>
        <w:tabs>
          <w:tab w:val="left" w:pos="1418"/>
        </w:tabs>
        <w:jc w:val="both"/>
      </w:pPr>
      <w:r>
        <w:t>Peut porter un projet toute entité légale établie dans un État membre de l’Union européenne, ainsi qu</w:t>
      </w:r>
      <w:r w:rsidR="00CC6D0D">
        <w:t xml:space="preserve">’en </w:t>
      </w:r>
      <w:r>
        <w:t xml:space="preserve">Islande et </w:t>
      </w:r>
      <w:r w:rsidR="00CC6D0D">
        <w:t xml:space="preserve">en </w:t>
      </w:r>
      <w:r>
        <w:t>Norvège, dont les activités et les technologies correspondent aux activités financées par le Fonds pour l’innovation (se référer à la page 2).</w:t>
      </w:r>
    </w:p>
    <w:p w14:paraId="450E54E5" w14:textId="77777777" w:rsidR="005F0664" w:rsidRDefault="005F0664" w:rsidP="00552DB9">
      <w:pPr>
        <w:pStyle w:val="Paragraphedeliste"/>
        <w:numPr>
          <w:ilvl w:val="0"/>
          <w:numId w:val="23"/>
        </w:numPr>
        <w:tabs>
          <w:tab w:val="left" w:pos="1418"/>
        </w:tabs>
        <w:jc w:val="both"/>
      </w:pPr>
      <w:r>
        <w:t xml:space="preserve">Dans la pratique, le programme s’adresse notamment aux grands groupes industriels, comme l’indique </w:t>
      </w:r>
      <w:hyperlink r:id="rId11" w:history="1">
        <w:r w:rsidRPr="005F0664">
          <w:rPr>
            <w:rStyle w:val="Lienhypertexte"/>
          </w:rPr>
          <w:t xml:space="preserve">cette liste de projets présentés lors d’un atelier </w:t>
        </w:r>
        <w:r w:rsidR="00E2633F">
          <w:rPr>
            <w:rStyle w:val="Lienhypertexte"/>
          </w:rPr>
          <w:t xml:space="preserve">de la Commission européenne de janvier 2020 </w:t>
        </w:r>
        <w:r w:rsidRPr="005F0664">
          <w:rPr>
            <w:rStyle w:val="Lienhypertexte"/>
          </w:rPr>
          <w:t>sur le Fonds pour l’innovation</w:t>
        </w:r>
      </w:hyperlink>
      <w:r>
        <w:t>.</w:t>
      </w:r>
    </w:p>
    <w:p w14:paraId="51DBB014" w14:textId="77777777" w:rsidR="00370F32" w:rsidRDefault="00370F32">
      <w:pPr>
        <w:tabs>
          <w:tab w:val="left" w:pos="1307"/>
        </w:tabs>
        <w:jc w:val="both"/>
      </w:pPr>
    </w:p>
    <w:p w14:paraId="73FED5C4" w14:textId="77777777" w:rsidR="00111493" w:rsidRDefault="00111493">
      <w:pPr>
        <w:tabs>
          <w:tab w:val="left" w:pos="1307"/>
        </w:tabs>
        <w:jc w:val="both"/>
      </w:pPr>
      <w:r>
        <w:t xml:space="preserve">Le Fonds pour l’innovation </w:t>
      </w:r>
      <w:r w:rsidR="00CC6D0D">
        <w:t xml:space="preserve">finance </w:t>
      </w:r>
      <w:r w:rsidR="00CC6D0D" w:rsidRPr="00CC6D0D">
        <w:rPr>
          <w:b/>
          <w:bCs/>
        </w:rPr>
        <w:t>deux types de</w:t>
      </w:r>
      <w:r w:rsidRPr="00FF307A">
        <w:rPr>
          <w:b/>
          <w:bCs/>
        </w:rPr>
        <w:t xml:space="preserve"> projets</w:t>
      </w:r>
      <w:r>
        <w:t> :</w:t>
      </w:r>
    </w:p>
    <w:p w14:paraId="125BACA1" w14:textId="77777777" w:rsidR="00111493" w:rsidRDefault="00CC6D0D" w:rsidP="00370F32">
      <w:pPr>
        <w:pStyle w:val="Paragraphedeliste"/>
        <w:numPr>
          <w:ilvl w:val="0"/>
          <w:numId w:val="20"/>
        </w:numPr>
        <w:tabs>
          <w:tab w:val="left" w:pos="1307"/>
        </w:tabs>
        <w:jc w:val="both"/>
      </w:pPr>
      <w:r>
        <w:t xml:space="preserve">Les </w:t>
      </w:r>
      <w:r w:rsidR="00111493">
        <w:t>projets à grande échelle (</w:t>
      </w:r>
      <w:r w:rsidR="00111493">
        <w:rPr>
          <w:i/>
          <w:iCs/>
        </w:rPr>
        <w:t>large-</w:t>
      </w:r>
      <w:proofErr w:type="spellStart"/>
      <w:r w:rsidR="00111493">
        <w:rPr>
          <w:i/>
          <w:iCs/>
        </w:rPr>
        <w:t>scale</w:t>
      </w:r>
      <w:proofErr w:type="spellEnd"/>
      <w:r w:rsidR="00111493">
        <w:rPr>
          <w:i/>
          <w:iCs/>
        </w:rPr>
        <w:t xml:space="preserve"> </w:t>
      </w:r>
      <w:proofErr w:type="spellStart"/>
      <w:r w:rsidR="00111493">
        <w:rPr>
          <w:i/>
          <w:iCs/>
        </w:rPr>
        <w:t>projects</w:t>
      </w:r>
      <w:proofErr w:type="spellEnd"/>
      <w:r w:rsidR="00111493">
        <w:t>) dont les dépenses d’investissement sont d’au moins 7 500 000 €</w:t>
      </w:r>
      <w:r w:rsidR="006C6F36">
        <w:t>, avec une sélection en deux étapes.</w:t>
      </w:r>
    </w:p>
    <w:p w14:paraId="61FA49AB" w14:textId="77777777" w:rsidR="00111493" w:rsidRDefault="00111493" w:rsidP="00370F32">
      <w:pPr>
        <w:pStyle w:val="Paragraphedeliste"/>
        <w:numPr>
          <w:ilvl w:val="0"/>
          <w:numId w:val="20"/>
        </w:numPr>
        <w:tabs>
          <w:tab w:val="left" w:pos="1307"/>
        </w:tabs>
        <w:jc w:val="both"/>
      </w:pPr>
      <w:r>
        <w:t>Les projets à petite échelle (</w:t>
      </w:r>
      <w:proofErr w:type="spellStart"/>
      <w:r>
        <w:rPr>
          <w:i/>
          <w:iCs/>
        </w:rPr>
        <w:t>small-scale</w:t>
      </w:r>
      <w:proofErr w:type="spellEnd"/>
      <w:r>
        <w:rPr>
          <w:i/>
          <w:iCs/>
        </w:rPr>
        <w:t xml:space="preserve"> </w:t>
      </w:r>
      <w:proofErr w:type="spellStart"/>
      <w:r>
        <w:rPr>
          <w:i/>
          <w:iCs/>
        </w:rPr>
        <w:t>projects</w:t>
      </w:r>
      <w:proofErr w:type="spellEnd"/>
      <w:r>
        <w:t>) dont les dépenses d’investissement sont entre 2 500 000 € et 7 500 000 €</w:t>
      </w:r>
      <w:r w:rsidR="006C6F36">
        <w:t>, avec une sélection en une étape</w:t>
      </w:r>
      <w:r>
        <w:t>.</w:t>
      </w:r>
    </w:p>
    <w:p w14:paraId="59E91344" w14:textId="77777777" w:rsidR="00C93CA0" w:rsidRDefault="00CF74ED">
      <w:r w:rsidRPr="00CF74ED">
        <w:t>L</w:t>
      </w:r>
      <w:r>
        <w:t>es spécificités relatives à chaque type de projets sont décrites ci-dessous.</w:t>
      </w:r>
    </w:p>
    <w:p w14:paraId="5D94F1FE" w14:textId="77777777" w:rsidR="00107DA4" w:rsidRPr="00CF74ED" w:rsidRDefault="00107DA4"/>
    <w:p w14:paraId="36147265" w14:textId="77777777" w:rsidR="006606B9" w:rsidRPr="003C7AC8" w:rsidRDefault="003C7AC8" w:rsidP="003C7AC8">
      <w:pPr>
        <w:pStyle w:val="Style1"/>
      </w:pPr>
      <w:r>
        <w:t>Large-</w:t>
      </w:r>
      <w:proofErr w:type="spellStart"/>
      <w:r>
        <w:t>scale</w:t>
      </w:r>
      <w:proofErr w:type="spellEnd"/>
      <w:r>
        <w:t xml:space="preserve"> </w:t>
      </w:r>
      <w:proofErr w:type="spellStart"/>
      <w:r>
        <w:t>projects</w:t>
      </w:r>
      <w:proofErr w:type="spellEnd"/>
      <w:r w:rsidR="00CF74ED">
        <w:t> :</w:t>
      </w:r>
      <w:r>
        <w:t xml:space="preserve"> CAPEX &gt; 7 500 000 €</w:t>
      </w:r>
    </w:p>
    <w:p w14:paraId="49754D5B" w14:textId="77777777" w:rsidR="006606B9" w:rsidRDefault="006606B9" w:rsidP="006606B9">
      <w:pPr>
        <w:pBdr>
          <w:top w:val="nil"/>
          <w:left w:val="nil"/>
          <w:bottom w:val="nil"/>
          <w:right w:val="nil"/>
          <w:between w:val="nil"/>
        </w:pBdr>
        <w:tabs>
          <w:tab w:val="left" w:pos="1307"/>
        </w:tabs>
        <w:jc w:val="both"/>
      </w:pPr>
    </w:p>
    <w:p w14:paraId="34256C88" w14:textId="77777777" w:rsidR="00CC781C" w:rsidRDefault="00370F32" w:rsidP="00B31CE8">
      <w:pPr>
        <w:pStyle w:val="Paragraphedeliste"/>
        <w:numPr>
          <w:ilvl w:val="0"/>
          <w:numId w:val="28"/>
        </w:numPr>
        <w:pBdr>
          <w:top w:val="nil"/>
          <w:left w:val="nil"/>
          <w:bottom w:val="nil"/>
          <w:right w:val="nil"/>
          <w:between w:val="nil"/>
        </w:pBdr>
        <w:tabs>
          <w:tab w:val="left" w:pos="1307"/>
        </w:tabs>
        <w:jc w:val="both"/>
      </w:pPr>
      <w:bookmarkStart w:id="0" w:name="_Hlk71209587"/>
      <w:r>
        <w:t>Les projets recherché</w:t>
      </w:r>
      <w:r w:rsidR="00B216CD">
        <w:t>s</w:t>
      </w:r>
      <w:r>
        <w:t xml:space="preserve"> sont des projets démontrant des </w:t>
      </w:r>
      <w:r w:rsidRPr="00B31CE8">
        <w:rPr>
          <w:b/>
          <w:bCs/>
        </w:rPr>
        <w:t>technologies, des processus ou des produits très innovants</w:t>
      </w:r>
      <w:r>
        <w:t xml:space="preserve">, suffisamment matures et dotés d’un potentiel significatif </w:t>
      </w:r>
      <w:r w:rsidR="006C6F36">
        <w:t>de réduction</w:t>
      </w:r>
      <w:r>
        <w:t xml:space="preserve"> </w:t>
      </w:r>
      <w:r w:rsidR="00F67F95">
        <w:t>d</w:t>
      </w:r>
      <w:r>
        <w:t>es émissions de gaz à effet de serre</w:t>
      </w:r>
      <w:r w:rsidR="00F67F95">
        <w:t xml:space="preserve"> (GES)</w:t>
      </w:r>
      <w:r w:rsidR="0061070C">
        <w:t xml:space="preserve">, </w:t>
      </w:r>
      <w:r w:rsidR="0061070C" w:rsidRPr="00B31CE8">
        <w:rPr>
          <w:b/>
          <w:bCs/>
        </w:rPr>
        <w:t xml:space="preserve">dans les </w:t>
      </w:r>
      <w:r w:rsidR="00B31CE8" w:rsidRPr="00B31CE8">
        <w:rPr>
          <w:b/>
          <w:bCs/>
        </w:rPr>
        <w:t xml:space="preserve">activités et </w:t>
      </w:r>
      <w:r w:rsidR="0061070C" w:rsidRPr="00B31CE8">
        <w:rPr>
          <w:b/>
          <w:bCs/>
        </w:rPr>
        <w:t xml:space="preserve">secteurs </w:t>
      </w:r>
      <w:proofErr w:type="spellStart"/>
      <w:r w:rsidR="0061070C" w:rsidRPr="00B31CE8">
        <w:rPr>
          <w:b/>
          <w:bCs/>
        </w:rPr>
        <w:t>sus-cités</w:t>
      </w:r>
      <w:proofErr w:type="spellEnd"/>
      <w:r w:rsidR="001E4E94">
        <w:t>.</w:t>
      </w:r>
    </w:p>
    <w:p w14:paraId="1AC17A65" w14:textId="69B33758" w:rsidR="00FF307A" w:rsidRPr="00FF307A" w:rsidRDefault="00FF307A" w:rsidP="00FF307A">
      <w:pPr>
        <w:pStyle w:val="Paragraphedeliste"/>
        <w:numPr>
          <w:ilvl w:val="0"/>
          <w:numId w:val="28"/>
        </w:numPr>
        <w:pBdr>
          <w:top w:val="nil"/>
          <w:left w:val="nil"/>
          <w:bottom w:val="nil"/>
          <w:right w:val="nil"/>
          <w:between w:val="nil"/>
        </w:pBdr>
        <w:tabs>
          <w:tab w:val="left" w:pos="1307"/>
        </w:tabs>
        <w:jc w:val="both"/>
        <w:rPr>
          <w:b/>
          <w:bCs/>
        </w:rPr>
      </w:pPr>
      <w:r>
        <w:t xml:space="preserve">Les coûts éligibles sont les </w:t>
      </w:r>
      <w:r w:rsidRPr="00FF307A">
        <w:rPr>
          <w:b/>
          <w:bCs/>
        </w:rPr>
        <w:t>dépenses additionnelles supportées par le porteur de projet en raison du recours à la solution innovante, par rapport aux dépenses qui seraient encourues dans une situation conventionnelle</w:t>
      </w:r>
      <w:r w:rsidR="004E5A32">
        <w:rPr>
          <w:b/>
          <w:bCs/>
        </w:rPr>
        <w:t>, c’est-à-dire avec déduction d’une solution de référence</w:t>
      </w:r>
      <w:r w:rsidR="00763C21">
        <w:rPr>
          <w:rStyle w:val="Appelnotedebasdep"/>
          <w:b/>
          <w:bCs/>
        </w:rPr>
        <w:footnoteReference w:id="2"/>
      </w:r>
      <w:r w:rsidRPr="00FF307A">
        <w:rPr>
          <w:b/>
          <w:bCs/>
        </w:rPr>
        <w:t>.</w:t>
      </w:r>
    </w:p>
    <w:p w14:paraId="0B813821" w14:textId="32AD31CC" w:rsidR="00FF307A" w:rsidRDefault="00763C21" w:rsidP="00FF307A">
      <w:pPr>
        <w:pStyle w:val="Paragraphedeliste"/>
        <w:numPr>
          <w:ilvl w:val="0"/>
          <w:numId w:val="28"/>
        </w:numPr>
        <w:pBdr>
          <w:top w:val="nil"/>
          <w:left w:val="nil"/>
          <w:bottom w:val="nil"/>
          <w:right w:val="nil"/>
          <w:between w:val="nil"/>
        </w:pBdr>
        <w:tabs>
          <w:tab w:val="left" w:pos="1307"/>
        </w:tabs>
        <w:jc w:val="both"/>
      </w:pPr>
      <w:r>
        <w:lastRenderedPageBreak/>
        <w:t>Il est obligatoire pour estimer correctement les coûts éligibles du projet de se référer à l’</w:t>
      </w:r>
      <w:hyperlink r:id="rId12" w:history="1">
        <w:r w:rsidR="00FF307A" w:rsidRPr="00C93CA0">
          <w:rPr>
            <w:rStyle w:val="Lienhypertexte"/>
          </w:rPr>
          <w:t>annexe spécifique</w:t>
        </w:r>
      </w:hyperlink>
      <w:r w:rsidR="00FF307A">
        <w:t xml:space="preserve"> </w:t>
      </w:r>
      <w:r w:rsidR="003F1F9D">
        <w:t>mise à jour au fur et à mesure des appels à projets</w:t>
      </w:r>
      <w:r w:rsidR="0050503B">
        <w:rPr>
          <w:rStyle w:val="Appelnotedebasdep"/>
        </w:rPr>
        <w:footnoteReference w:id="3"/>
      </w:r>
      <w:r>
        <w:t>, qui</w:t>
      </w:r>
      <w:r w:rsidR="003F1F9D">
        <w:t xml:space="preserve"> </w:t>
      </w:r>
      <w:r w:rsidR="00FF307A">
        <w:t>guide les candidats dans l’estimation des coûts éligibles</w:t>
      </w:r>
      <w:r>
        <w:t xml:space="preserve"> via différentes méthodes de calcul. Pour synthétiser, ceux-ci </w:t>
      </w:r>
      <w:r w:rsidR="00FF307A">
        <w:t>sont obtenus en faisant la différence suivante :</w:t>
      </w:r>
    </w:p>
    <w:p w14:paraId="77530FBE" w14:textId="5FA474FE" w:rsidR="00FF307A" w:rsidRDefault="0050503B" w:rsidP="00FF307A">
      <w:pPr>
        <w:pStyle w:val="Paragraphedeliste"/>
        <w:pBdr>
          <w:top w:val="nil"/>
          <w:left w:val="nil"/>
          <w:bottom w:val="nil"/>
          <w:right w:val="nil"/>
          <w:between w:val="nil"/>
        </w:pBdr>
        <w:tabs>
          <w:tab w:val="left" w:pos="1307"/>
        </w:tabs>
        <w:ind w:left="360"/>
        <w:jc w:val="both"/>
      </w:pPr>
      <w:r>
        <w:rPr>
          <w:noProof/>
        </w:rPr>
        <w:drawing>
          <wp:anchor distT="0" distB="0" distL="114300" distR="114300" simplePos="0" relativeHeight="251665408" behindDoc="1" locked="0" layoutInCell="1" allowOverlap="1" wp14:anchorId="486C0310" wp14:editId="160AAA4B">
            <wp:simplePos x="0" y="0"/>
            <wp:positionH relativeFrom="column">
              <wp:posOffset>-427652</wp:posOffset>
            </wp:positionH>
            <wp:positionV relativeFrom="paragraph">
              <wp:posOffset>7620</wp:posOffset>
            </wp:positionV>
            <wp:extent cx="6978749" cy="1459149"/>
            <wp:effectExtent l="0" t="0" r="0" b="1905"/>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78749" cy="1459149"/>
                    </a:xfrm>
                    <a:prstGeom prst="rect">
                      <a:avLst/>
                    </a:prstGeom>
                    <a:noFill/>
                  </pic:spPr>
                </pic:pic>
              </a:graphicData>
            </a:graphic>
            <wp14:sizeRelH relativeFrom="margin">
              <wp14:pctWidth>0</wp14:pctWidth>
            </wp14:sizeRelH>
            <wp14:sizeRelV relativeFrom="margin">
              <wp14:pctHeight>0</wp14:pctHeight>
            </wp14:sizeRelV>
          </wp:anchor>
        </w:drawing>
      </w:r>
    </w:p>
    <w:p w14:paraId="488FF059" w14:textId="77777777" w:rsidR="00FF307A" w:rsidRDefault="00FF307A" w:rsidP="00FF307A">
      <w:pPr>
        <w:pBdr>
          <w:top w:val="nil"/>
          <w:left w:val="nil"/>
          <w:bottom w:val="nil"/>
          <w:right w:val="nil"/>
          <w:between w:val="nil"/>
        </w:pBdr>
        <w:tabs>
          <w:tab w:val="left" w:pos="1307"/>
        </w:tabs>
        <w:jc w:val="both"/>
      </w:pPr>
    </w:p>
    <w:p w14:paraId="550457C7" w14:textId="77777777" w:rsidR="00FF307A" w:rsidRDefault="00FF307A" w:rsidP="00FF307A">
      <w:pPr>
        <w:pBdr>
          <w:top w:val="nil"/>
          <w:left w:val="nil"/>
          <w:bottom w:val="nil"/>
          <w:right w:val="nil"/>
          <w:between w:val="nil"/>
        </w:pBdr>
        <w:tabs>
          <w:tab w:val="left" w:pos="1307"/>
        </w:tabs>
        <w:jc w:val="both"/>
        <w:rPr>
          <w:b/>
          <w:bCs/>
        </w:rPr>
      </w:pPr>
    </w:p>
    <w:p w14:paraId="22A85825" w14:textId="77777777" w:rsidR="00FF307A" w:rsidRDefault="00FF307A" w:rsidP="00FF307A">
      <w:pPr>
        <w:pBdr>
          <w:top w:val="nil"/>
          <w:left w:val="nil"/>
          <w:bottom w:val="nil"/>
          <w:right w:val="nil"/>
          <w:between w:val="nil"/>
        </w:pBdr>
        <w:tabs>
          <w:tab w:val="left" w:pos="1307"/>
        </w:tabs>
        <w:jc w:val="both"/>
        <w:rPr>
          <w:b/>
          <w:bCs/>
        </w:rPr>
      </w:pPr>
    </w:p>
    <w:p w14:paraId="2F4A37AB" w14:textId="77777777" w:rsidR="00FF307A" w:rsidRDefault="00FF307A" w:rsidP="00FF307A">
      <w:pPr>
        <w:pBdr>
          <w:top w:val="nil"/>
          <w:left w:val="nil"/>
          <w:bottom w:val="nil"/>
          <w:right w:val="nil"/>
          <w:between w:val="nil"/>
        </w:pBdr>
        <w:tabs>
          <w:tab w:val="left" w:pos="1307"/>
        </w:tabs>
        <w:jc w:val="both"/>
        <w:rPr>
          <w:b/>
          <w:bCs/>
        </w:rPr>
      </w:pPr>
    </w:p>
    <w:p w14:paraId="4D4665C0" w14:textId="77777777" w:rsidR="00FF307A" w:rsidRDefault="00FF307A" w:rsidP="00FF307A">
      <w:pPr>
        <w:pBdr>
          <w:top w:val="nil"/>
          <w:left w:val="nil"/>
          <w:bottom w:val="nil"/>
          <w:right w:val="nil"/>
          <w:between w:val="nil"/>
        </w:pBdr>
        <w:tabs>
          <w:tab w:val="left" w:pos="1307"/>
        </w:tabs>
        <w:jc w:val="both"/>
        <w:rPr>
          <w:b/>
          <w:bCs/>
        </w:rPr>
      </w:pPr>
    </w:p>
    <w:p w14:paraId="20BA4D4B" w14:textId="77777777" w:rsidR="00FF307A" w:rsidRDefault="00050268" w:rsidP="0050503B">
      <w:pPr>
        <w:pBdr>
          <w:top w:val="nil"/>
          <w:left w:val="nil"/>
          <w:bottom w:val="nil"/>
          <w:right w:val="nil"/>
          <w:between w:val="nil"/>
        </w:pBdr>
        <w:tabs>
          <w:tab w:val="left" w:pos="8938"/>
        </w:tabs>
        <w:jc w:val="both"/>
        <w:rPr>
          <w:b/>
          <w:bCs/>
        </w:rPr>
      </w:pPr>
      <w:r>
        <w:rPr>
          <w:b/>
          <w:bCs/>
        </w:rPr>
        <w:tab/>
      </w:r>
    </w:p>
    <w:p w14:paraId="26340838" w14:textId="77777777" w:rsidR="00FF307A" w:rsidRDefault="00FF307A" w:rsidP="0050503B">
      <w:pPr>
        <w:pBdr>
          <w:top w:val="nil"/>
          <w:left w:val="nil"/>
          <w:bottom w:val="nil"/>
          <w:right w:val="nil"/>
          <w:between w:val="nil"/>
        </w:pBdr>
        <w:tabs>
          <w:tab w:val="left" w:pos="1307"/>
        </w:tabs>
        <w:jc w:val="right"/>
        <w:rPr>
          <w:b/>
          <w:bCs/>
        </w:rPr>
      </w:pPr>
    </w:p>
    <w:p w14:paraId="352C1B3F" w14:textId="77777777" w:rsidR="00FF307A" w:rsidRDefault="00FF307A" w:rsidP="00FF307A">
      <w:pPr>
        <w:pBdr>
          <w:top w:val="nil"/>
          <w:left w:val="nil"/>
          <w:bottom w:val="nil"/>
          <w:right w:val="nil"/>
          <w:between w:val="nil"/>
        </w:pBdr>
        <w:tabs>
          <w:tab w:val="left" w:pos="1307"/>
        </w:tabs>
        <w:jc w:val="both"/>
        <w:rPr>
          <w:b/>
          <w:bCs/>
        </w:rPr>
      </w:pPr>
    </w:p>
    <w:p w14:paraId="3197D6BE" w14:textId="31AD35DA" w:rsidR="00FF307A" w:rsidRPr="00FF307A" w:rsidRDefault="00FF307A" w:rsidP="00FF307A">
      <w:pPr>
        <w:pStyle w:val="Paragraphedeliste"/>
        <w:numPr>
          <w:ilvl w:val="0"/>
          <w:numId w:val="28"/>
        </w:numPr>
        <w:pBdr>
          <w:top w:val="nil"/>
          <w:left w:val="nil"/>
          <w:bottom w:val="nil"/>
          <w:right w:val="nil"/>
          <w:between w:val="nil"/>
        </w:pBdr>
        <w:tabs>
          <w:tab w:val="left" w:pos="1307"/>
        </w:tabs>
        <w:jc w:val="both"/>
        <w:rPr>
          <w:b/>
          <w:bCs/>
        </w:rPr>
      </w:pPr>
      <w:r>
        <w:t xml:space="preserve">Le Fonds pour l’innovation </w:t>
      </w:r>
      <w:r w:rsidRPr="00FF307A">
        <w:rPr>
          <w:b/>
          <w:bCs/>
        </w:rPr>
        <w:t>finance</w:t>
      </w:r>
      <w:r w:rsidR="00622649">
        <w:rPr>
          <w:b/>
          <w:bCs/>
        </w:rPr>
        <w:t xml:space="preserve"> jusqu’à</w:t>
      </w:r>
      <w:r w:rsidRPr="00FF307A">
        <w:rPr>
          <w:b/>
          <w:bCs/>
        </w:rPr>
        <w:t xml:space="preserve"> 60% </w:t>
      </w:r>
      <w:r w:rsidR="0050503B">
        <w:rPr>
          <w:b/>
          <w:bCs/>
        </w:rPr>
        <w:t xml:space="preserve">maximum </w:t>
      </w:r>
      <w:r w:rsidRPr="00FF307A">
        <w:rPr>
          <w:b/>
          <w:bCs/>
        </w:rPr>
        <w:t>des coûts éligibles du projet</w:t>
      </w:r>
      <w:r>
        <w:t>, c’est-à-dire 60% du surcoût du recours à la solution innovante pour le porteur de projet.</w:t>
      </w:r>
      <w:r w:rsidRPr="00FF307A">
        <w:rPr>
          <w:b/>
          <w:bCs/>
        </w:rPr>
        <w:t xml:space="preserve"> </w:t>
      </w:r>
      <w:r>
        <w:t>40% du surcoût reste donc à la charge du porteur de projet, qui peut pour les financer s’appuyer sur d’autres sources de financement, publiques ou privées</w:t>
      </w:r>
      <w:r w:rsidR="001461F6">
        <w:t xml:space="preserve"> (se référer à </w:t>
      </w:r>
      <w:hyperlink r:id="rId14" w:history="1">
        <w:r w:rsidR="001461F6" w:rsidRPr="001461F6">
          <w:rPr>
            <w:rStyle w:val="Lienhypertexte"/>
          </w:rPr>
          <w:t>ce document</w:t>
        </w:r>
      </w:hyperlink>
      <w:r w:rsidR="001461F6">
        <w:t xml:space="preserve"> pour plus d’informations sur les possibilités de combinaison avec d’autres sources de financement</w:t>
      </w:r>
      <w:r w:rsidR="009D15E7">
        <w:t>, dans le respect des règles liées au risque de double-financement et aux aides d’</w:t>
      </w:r>
      <w:proofErr w:type="spellStart"/>
      <w:r w:rsidR="009D15E7">
        <w:t>Etat</w:t>
      </w:r>
      <w:proofErr w:type="spellEnd"/>
      <w:r w:rsidR="001461F6">
        <w:t>).</w:t>
      </w:r>
    </w:p>
    <w:p w14:paraId="2915F4FE" w14:textId="67288220" w:rsidR="00FF307A" w:rsidRPr="00FF307A" w:rsidRDefault="000F4B20" w:rsidP="00FF307A">
      <w:pPr>
        <w:pStyle w:val="Paragraphedeliste"/>
        <w:numPr>
          <w:ilvl w:val="0"/>
          <w:numId w:val="28"/>
        </w:numPr>
        <w:pBdr>
          <w:top w:val="nil"/>
          <w:left w:val="nil"/>
          <w:bottom w:val="nil"/>
          <w:right w:val="nil"/>
          <w:between w:val="nil"/>
        </w:pBdr>
        <w:tabs>
          <w:tab w:val="left" w:pos="1307"/>
        </w:tabs>
        <w:jc w:val="both"/>
        <w:rPr>
          <w:b/>
          <w:bCs/>
        </w:rPr>
      </w:pPr>
      <w:r>
        <w:t>Si le taux d’aide est plafonné, e</w:t>
      </w:r>
      <w:r w:rsidR="00FF307A">
        <w:t>n principe l</w:t>
      </w:r>
      <w:r>
        <w:t>e montant de la</w:t>
      </w:r>
      <w:r w:rsidR="00FF307A">
        <w:t xml:space="preserve"> subvention </w:t>
      </w:r>
      <w:r>
        <w:t>ne l’est pas</w:t>
      </w:r>
      <w:r w:rsidR="00FF307A">
        <w:t>, toutefois les projets sont aussi évalués sur leur « rapport qualité-prix », aussi il peut être judicieux pour des projets coûteux de demander moins de 60% des coûts éligibles, en mettant en avant</w:t>
      </w:r>
      <w:r>
        <w:t xml:space="preserve"> dans le dossier de candidature</w:t>
      </w:r>
      <w:r w:rsidR="00FF307A">
        <w:t xml:space="preserve"> la mobilisation d’autres sources de financement (publiques ou privées) pour le projet.</w:t>
      </w:r>
    </w:p>
    <w:p w14:paraId="4A647011" w14:textId="15C20107" w:rsidR="00FF307A" w:rsidRDefault="00FF307A" w:rsidP="00FF307A">
      <w:pPr>
        <w:pStyle w:val="Paragraphedeliste"/>
        <w:numPr>
          <w:ilvl w:val="0"/>
          <w:numId w:val="28"/>
        </w:numPr>
        <w:pBdr>
          <w:top w:val="nil"/>
          <w:left w:val="nil"/>
          <w:bottom w:val="nil"/>
          <w:right w:val="nil"/>
          <w:between w:val="nil"/>
        </w:pBdr>
        <w:tabs>
          <w:tab w:val="left" w:pos="1307"/>
        </w:tabs>
        <w:jc w:val="both"/>
      </w:pPr>
      <w:r>
        <w:t xml:space="preserve">La </w:t>
      </w:r>
      <w:r w:rsidRPr="00FF307A">
        <w:rPr>
          <w:b/>
          <w:bCs/>
        </w:rPr>
        <w:t>subvention est découpée en plusieurs montants forfaitaires</w:t>
      </w:r>
      <w:r>
        <w:t xml:space="preserve">, </w:t>
      </w:r>
      <w:r w:rsidR="00A35302">
        <w:t xml:space="preserve">qui sont versés au moment de la réalisation d’étapes-clefs du projet (jalons) spécifiques (tels que le </w:t>
      </w:r>
      <w:r w:rsidR="00CF1001">
        <w:t>« </w:t>
      </w:r>
      <w:r w:rsidR="00A35302">
        <w:t>bouclage financier</w:t>
      </w:r>
      <w:r w:rsidR="00CF1001">
        <w:t> »</w:t>
      </w:r>
      <w:r w:rsidR="000F4B20">
        <w:rPr>
          <w:rStyle w:val="Appelnotedebasdep"/>
        </w:rPr>
        <w:footnoteReference w:id="4"/>
      </w:r>
      <w:r w:rsidR="00A35302">
        <w:t xml:space="preserve"> ou la mise en service, ou autres)</w:t>
      </w:r>
      <w:r>
        <w:t>, définis dans le contrat de subvention, et en fonction de l’évitement effectif de GES après la mise en service de l’innovation.</w:t>
      </w:r>
    </w:p>
    <w:p w14:paraId="0A2C1412" w14:textId="77777777" w:rsidR="00FF307A" w:rsidRDefault="00FF307A" w:rsidP="00FF307A">
      <w:pPr>
        <w:pStyle w:val="Paragraphedeliste"/>
        <w:numPr>
          <w:ilvl w:val="0"/>
          <w:numId w:val="28"/>
        </w:numPr>
        <w:pBdr>
          <w:top w:val="nil"/>
          <w:left w:val="nil"/>
          <w:bottom w:val="nil"/>
          <w:right w:val="nil"/>
          <w:between w:val="nil"/>
        </w:pBdr>
        <w:tabs>
          <w:tab w:val="left" w:pos="1307"/>
        </w:tabs>
        <w:jc w:val="both"/>
      </w:pPr>
      <w:r>
        <w:t xml:space="preserve">Les versements ne sont donc pas basés sur les dépenses effectivement encourues mais sur la réalisation des activités et l’atteinte d’objectifs. Toutefois, les montants forfaitaires à verser définis dans la candidature pour chaque bénéficiaire et pour chaque action doivent rester proportionnels aux activités </w:t>
      </w:r>
      <w:r w:rsidR="00A35302">
        <w:t>menées par le porteur de projet</w:t>
      </w:r>
      <w:r>
        <w:t>.</w:t>
      </w:r>
    </w:p>
    <w:p w14:paraId="580AAC7C" w14:textId="77777777" w:rsidR="00905FE7" w:rsidRDefault="00B216CD" w:rsidP="00905FE7">
      <w:pPr>
        <w:numPr>
          <w:ilvl w:val="0"/>
          <w:numId w:val="21"/>
        </w:numPr>
        <w:pBdr>
          <w:top w:val="nil"/>
          <w:left w:val="nil"/>
          <w:bottom w:val="nil"/>
          <w:right w:val="nil"/>
          <w:between w:val="nil"/>
        </w:pBdr>
        <w:tabs>
          <w:tab w:val="left" w:pos="1307"/>
        </w:tabs>
        <w:jc w:val="both"/>
      </w:pPr>
      <w:r>
        <w:t xml:space="preserve">Les projets se déroulent </w:t>
      </w:r>
      <w:r w:rsidR="00D07153">
        <w:t>sur une longue période</w:t>
      </w:r>
      <w:r>
        <w:t>, composée de plusieurs étapes</w:t>
      </w:r>
      <w:r w:rsidR="00D07153">
        <w:t> :</w:t>
      </w:r>
    </w:p>
    <w:p w14:paraId="2C8808DC" w14:textId="77777777" w:rsidR="005002C5" w:rsidRDefault="005002C5" w:rsidP="00B31CE8">
      <w:pPr>
        <w:numPr>
          <w:ilvl w:val="1"/>
          <w:numId w:val="21"/>
        </w:numPr>
        <w:pBdr>
          <w:top w:val="nil"/>
          <w:left w:val="nil"/>
          <w:bottom w:val="nil"/>
          <w:right w:val="nil"/>
          <w:between w:val="nil"/>
        </w:pBdr>
        <w:tabs>
          <w:tab w:val="left" w:pos="1418"/>
        </w:tabs>
        <w:jc w:val="both"/>
      </w:pPr>
      <w:r w:rsidRPr="00F67B5F">
        <w:rPr>
          <w:b/>
          <w:bCs/>
        </w:rPr>
        <w:t>Une première période de préparation du projet</w:t>
      </w:r>
      <w:r>
        <w:t xml:space="preserve"> entre la signature du contrat de subvention et le « bouclage financier » du projet, qui ne doit pas excéder </w:t>
      </w:r>
      <w:r w:rsidR="00F67B5F">
        <w:t>4 ans</w:t>
      </w:r>
      <w:r>
        <w:t>.</w:t>
      </w:r>
    </w:p>
    <w:p w14:paraId="79C8A467" w14:textId="77777777" w:rsidR="005002C5" w:rsidRDefault="005002C5" w:rsidP="005002C5">
      <w:pPr>
        <w:pStyle w:val="Paragraphedeliste"/>
        <w:numPr>
          <w:ilvl w:val="0"/>
          <w:numId w:val="24"/>
        </w:numPr>
        <w:pBdr>
          <w:top w:val="nil"/>
          <w:left w:val="nil"/>
          <w:bottom w:val="nil"/>
          <w:right w:val="nil"/>
          <w:between w:val="nil"/>
        </w:pBdr>
        <w:tabs>
          <w:tab w:val="left" w:pos="1418"/>
        </w:tabs>
        <w:jc w:val="both"/>
      </w:pPr>
      <w:r>
        <w:t xml:space="preserve">Sur cette première période, jusqu’à 40% de la subvention peut </w:t>
      </w:r>
      <w:r w:rsidR="00F67B5F">
        <w:t xml:space="preserve">déjà </w:t>
      </w:r>
      <w:r>
        <w:t>être versé, au moment du bouclage financier ou lors d’un jalon spécifique fixé dans le contrat de subvention</w:t>
      </w:r>
    </w:p>
    <w:p w14:paraId="2158045F" w14:textId="77777777" w:rsidR="00F67B5F" w:rsidRDefault="00F67B5F" w:rsidP="00F67B5F">
      <w:pPr>
        <w:numPr>
          <w:ilvl w:val="1"/>
          <w:numId w:val="21"/>
        </w:numPr>
        <w:pBdr>
          <w:top w:val="nil"/>
          <w:left w:val="nil"/>
          <w:bottom w:val="nil"/>
          <w:right w:val="nil"/>
          <w:between w:val="nil"/>
        </w:pBdr>
        <w:tabs>
          <w:tab w:val="left" w:pos="1418"/>
        </w:tabs>
        <w:jc w:val="both"/>
      </w:pPr>
      <w:r w:rsidRPr="00F67B5F">
        <w:rPr>
          <w:b/>
          <w:bCs/>
        </w:rPr>
        <w:t>Une deuxième période de mise en place</w:t>
      </w:r>
      <w:r>
        <w:t xml:space="preserve"> de la solution innovante (</w:t>
      </w:r>
      <w:r w:rsidRPr="00F67B5F">
        <w:rPr>
          <w:i/>
          <w:iCs/>
        </w:rPr>
        <w:t>construction</w:t>
      </w:r>
      <w:r>
        <w:t>)</w:t>
      </w:r>
    </w:p>
    <w:p w14:paraId="48AC7B37" w14:textId="77777777" w:rsidR="00F67B5F" w:rsidRDefault="00F67B5F" w:rsidP="00F67B5F">
      <w:pPr>
        <w:pStyle w:val="Paragraphedeliste"/>
        <w:numPr>
          <w:ilvl w:val="0"/>
          <w:numId w:val="24"/>
        </w:numPr>
        <w:pBdr>
          <w:top w:val="nil"/>
          <w:left w:val="nil"/>
          <w:bottom w:val="nil"/>
          <w:right w:val="nil"/>
          <w:between w:val="nil"/>
        </w:pBdr>
        <w:tabs>
          <w:tab w:val="left" w:pos="1418"/>
        </w:tabs>
        <w:jc w:val="both"/>
      </w:pPr>
      <w:r>
        <w:t>Une partie de la subvention peut alors être versée avant la mise en service en fonction de jalons prédéfinis.</w:t>
      </w:r>
    </w:p>
    <w:p w14:paraId="1BFFCA7E" w14:textId="77777777" w:rsidR="00F67B5F" w:rsidRDefault="00F67B5F" w:rsidP="00F67B5F">
      <w:pPr>
        <w:numPr>
          <w:ilvl w:val="1"/>
          <w:numId w:val="21"/>
        </w:numPr>
        <w:pBdr>
          <w:top w:val="nil"/>
          <w:left w:val="nil"/>
          <w:bottom w:val="nil"/>
          <w:right w:val="nil"/>
          <w:between w:val="nil"/>
        </w:pBdr>
        <w:tabs>
          <w:tab w:val="left" w:pos="1418"/>
        </w:tabs>
        <w:jc w:val="both"/>
      </w:pPr>
      <w:r>
        <w:t>Puis avec la mise en service du dispositif (</w:t>
      </w:r>
      <w:r w:rsidRPr="00F67B5F">
        <w:rPr>
          <w:i/>
          <w:iCs/>
        </w:rPr>
        <w:t xml:space="preserve">entry </w:t>
      </w:r>
      <w:proofErr w:type="spellStart"/>
      <w:r w:rsidRPr="00F67B5F">
        <w:rPr>
          <w:i/>
          <w:iCs/>
        </w:rPr>
        <w:t>into</w:t>
      </w:r>
      <w:proofErr w:type="spellEnd"/>
      <w:r w:rsidRPr="00F67B5F">
        <w:rPr>
          <w:i/>
          <w:iCs/>
        </w:rPr>
        <w:t xml:space="preserve"> </w:t>
      </w:r>
      <w:proofErr w:type="spellStart"/>
      <w:r w:rsidRPr="00F67B5F">
        <w:rPr>
          <w:i/>
          <w:iCs/>
        </w:rPr>
        <w:t>operation</w:t>
      </w:r>
      <w:proofErr w:type="spellEnd"/>
      <w:r>
        <w:t xml:space="preserve">) débute la </w:t>
      </w:r>
      <w:r w:rsidRPr="00F67B5F">
        <w:rPr>
          <w:b/>
          <w:bCs/>
        </w:rPr>
        <w:t xml:space="preserve">phase de suivi et de </w:t>
      </w:r>
      <w:r w:rsidRPr="00107DA4">
        <w:rPr>
          <w:b/>
          <w:bCs/>
        </w:rPr>
        <w:t>reporting qui dure en principe 10 ans</w:t>
      </w:r>
      <w:r>
        <w:t>. Elle peut exceptionnellement être réduite jusqu’à 3 ans en cas de justification particulière (soumise à validation de la Commission européenne).</w:t>
      </w:r>
    </w:p>
    <w:p w14:paraId="3F0811A0" w14:textId="160BBBF9" w:rsidR="005002C5" w:rsidRDefault="00F67B5F" w:rsidP="00F67B5F">
      <w:pPr>
        <w:pStyle w:val="Paragraphedeliste"/>
        <w:numPr>
          <w:ilvl w:val="0"/>
          <w:numId w:val="24"/>
        </w:numPr>
        <w:pBdr>
          <w:top w:val="nil"/>
          <w:left w:val="nil"/>
          <w:bottom w:val="nil"/>
          <w:right w:val="nil"/>
          <w:between w:val="nil"/>
        </w:pBdr>
        <w:tabs>
          <w:tab w:val="left" w:pos="1418"/>
        </w:tabs>
        <w:jc w:val="both"/>
      </w:pPr>
      <w:r>
        <w:t xml:space="preserve">Sur cette dernière période, les montants forfaitaires sont versés chaque année sur vérification de l’évitement effectif d’émissions de GES. En cas de non-atteinte d’au moins 75% de la cible de réduction des GES, la subvention est </w:t>
      </w:r>
      <w:r w:rsidR="00D3058D">
        <w:t>révisée à la baisse au moment de la clôture du projet.</w:t>
      </w:r>
    </w:p>
    <w:p w14:paraId="3398F666" w14:textId="77777777" w:rsidR="00905FE7" w:rsidRDefault="0076064D" w:rsidP="00905FE7">
      <w:pPr>
        <w:pBdr>
          <w:top w:val="nil"/>
          <w:left w:val="nil"/>
          <w:bottom w:val="nil"/>
          <w:right w:val="nil"/>
          <w:between w:val="nil"/>
        </w:pBdr>
        <w:tabs>
          <w:tab w:val="left" w:pos="1307"/>
        </w:tabs>
        <w:jc w:val="both"/>
      </w:pPr>
      <w:r>
        <w:rPr>
          <w:noProof/>
        </w:rPr>
        <w:lastRenderedPageBreak/>
        <w:drawing>
          <wp:anchor distT="0" distB="0" distL="114300" distR="114300" simplePos="0" relativeHeight="251662336" behindDoc="1" locked="0" layoutInCell="1" allowOverlap="1" wp14:anchorId="7A19F344" wp14:editId="50968385">
            <wp:simplePos x="0" y="0"/>
            <wp:positionH relativeFrom="column">
              <wp:posOffset>680356</wp:posOffset>
            </wp:positionH>
            <wp:positionV relativeFrom="paragraph">
              <wp:posOffset>27305</wp:posOffset>
            </wp:positionV>
            <wp:extent cx="4766553" cy="182796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766553" cy="1827965"/>
                    </a:xfrm>
                    <a:prstGeom prst="rect">
                      <a:avLst/>
                    </a:prstGeom>
                  </pic:spPr>
                </pic:pic>
              </a:graphicData>
            </a:graphic>
            <wp14:sizeRelH relativeFrom="margin">
              <wp14:pctWidth>0</wp14:pctWidth>
            </wp14:sizeRelH>
            <wp14:sizeRelV relativeFrom="margin">
              <wp14:pctHeight>0</wp14:pctHeight>
            </wp14:sizeRelV>
          </wp:anchor>
        </w:drawing>
      </w:r>
    </w:p>
    <w:p w14:paraId="1D2D573A" w14:textId="77777777" w:rsidR="00905FE7" w:rsidRDefault="00905FE7" w:rsidP="00905FE7">
      <w:pPr>
        <w:pBdr>
          <w:top w:val="nil"/>
          <w:left w:val="nil"/>
          <w:bottom w:val="nil"/>
          <w:right w:val="nil"/>
          <w:between w:val="nil"/>
        </w:pBdr>
        <w:tabs>
          <w:tab w:val="left" w:pos="1307"/>
        </w:tabs>
        <w:jc w:val="both"/>
      </w:pPr>
    </w:p>
    <w:p w14:paraId="6F780BD5" w14:textId="77777777" w:rsidR="0076064D" w:rsidRDefault="0076064D" w:rsidP="00905FE7">
      <w:pPr>
        <w:pBdr>
          <w:top w:val="nil"/>
          <w:left w:val="nil"/>
          <w:bottom w:val="nil"/>
          <w:right w:val="nil"/>
          <w:between w:val="nil"/>
        </w:pBdr>
        <w:tabs>
          <w:tab w:val="left" w:pos="1307"/>
        </w:tabs>
        <w:jc w:val="both"/>
      </w:pPr>
    </w:p>
    <w:p w14:paraId="6B6ADA52" w14:textId="77777777" w:rsidR="0076064D" w:rsidRDefault="0076064D" w:rsidP="00905FE7">
      <w:pPr>
        <w:pBdr>
          <w:top w:val="nil"/>
          <w:left w:val="nil"/>
          <w:bottom w:val="nil"/>
          <w:right w:val="nil"/>
          <w:between w:val="nil"/>
        </w:pBdr>
        <w:tabs>
          <w:tab w:val="left" w:pos="1307"/>
        </w:tabs>
        <w:jc w:val="both"/>
      </w:pPr>
    </w:p>
    <w:p w14:paraId="7D466403" w14:textId="77777777" w:rsidR="0076064D" w:rsidRDefault="0076064D" w:rsidP="00905FE7">
      <w:pPr>
        <w:pBdr>
          <w:top w:val="nil"/>
          <w:left w:val="nil"/>
          <w:bottom w:val="nil"/>
          <w:right w:val="nil"/>
          <w:between w:val="nil"/>
        </w:pBdr>
        <w:tabs>
          <w:tab w:val="left" w:pos="1307"/>
        </w:tabs>
        <w:jc w:val="both"/>
      </w:pPr>
    </w:p>
    <w:p w14:paraId="1077BA68" w14:textId="77777777" w:rsidR="0076064D" w:rsidRDefault="0076064D" w:rsidP="00905FE7">
      <w:pPr>
        <w:pBdr>
          <w:top w:val="nil"/>
          <w:left w:val="nil"/>
          <w:bottom w:val="nil"/>
          <w:right w:val="nil"/>
          <w:between w:val="nil"/>
        </w:pBdr>
        <w:tabs>
          <w:tab w:val="left" w:pos="1307"/>
        </w:tabs>
        <w:jc w:val="both"/>
      </w:pPr>
    </w:p>
    <w:p w14:paraId="5C36F03C" w14:textId="77777777" w:rsidR="0076064D" w:rsidRDefault="0076064D" w:rsidP="00905FE7">
      <w:pPr>
        <w:pBdr>
          <w:top w:val="nil"/>
          <w:left w:val="nil"/>
          <w:bottom w:val="nil"/>
          <w:right w:val="nil"/>
          <w:between w:val="nil"/>
        </w:pBdr>
        <w:tabs>
          <w:tab w:val="left" w:pos="1307"/>
        </w:tabs>
        <w:jc w:val="both"/>
      </w:pPr>
    </w:p>
    <w:p w14:paraId="42AB2070" w14:textId="77777777" w:rsidR="0076064D" w:rsidRDefault="0076064D" w:rsidP="00905FE7">
      <w:pPr>
        <w:pBdr>
          <w:top w:val="nil"/>
          <w:left w:val="nil"/>
          <w:bottom w:val="nil"/>
          <w:right w:val="nil"/>
          <w:between w:val="nil"/>
        </w:pBdr>
        <w:tabs>
          <w:tab w:val="left" w:pos="1307"/>
        </w:tabs>
        <w:jc w:val="both"/>
      </w:pPr>
    </w:p>
    <w:p w14:paraId="3A083F15" w14:textId="77777777" w:rsidR="0076064D" w:rsidRDefault="0076064D" w:rsidP="00905FE7">
      <w:pPr>
        <w:pBdr>
          <w:top w:val="nil"/>
          <w:left w:val="nil"/>
          <w:bottom w:val="nil"/>
          <w:right w:val="nil"/>
          <w:between w:val="nil"/>
        </w:pBdr>
        <w:tabs>
          <w:tab w:val="left" w:pos="1307"/>
        </w:tabs>
        <w:jc w:val="both"/>
      </w:pPr>
    </w:p>
    <w:p w14:paraId="6968CCA9" w14:textId="77777777" w:rsidR="0076064D" w:rsidRPr="000C638C" w:rsidRDefault="0076064D" w:rsidP="00905FE7">
      <w:pPr>
        <w:pBdr>
          <w:top w:val="nil"/>
          <w:left w:val="nil"/>
          <w:bottom w:val="nil"/>
          <w:right w:val="nil"/>
          <w:between w:val="nil"/>
        </w:pBdr>
        <w:tabs>
          <w:tab w:val="left" w:pos="1307"/>
        </w:tabs>
        <w:jc w:val="both"/>
        <w:rPr>
          <w:i/>
          <w:sz w:val="18"/>
          <w:szCs w:val="18"/>
        </w:rPr>
      </w:pPr>
    </w:p>
    <w:p w14:paraId="6408B121" w14:textId="77777777" w:rsidR="000C638C" w:rsidRDefault="000C638C" w:rsidP="000C638C">
      <w:pPr>
        <w:pStyle w:val="Paragraphedeliste"/>
        <w:pBdr>
          <w:top w:val="nil"/>
          <w:left w:val="nil"/>
          <w:bottom w:val="nil"/>
          <w:right w:val="nil"/>
          <w:between w:val="nil"/>
        </w:pBdr>
        <w:tabs>
          <w:tab w:val="left" w:pos="1307"/>
        </w:tabs>
        <w:jc w:val="both"/>
        <w:rPr>
          <w:i/>
          <w:sz w:val="18"/>
          <w:szCs w:val="18"/>
        </w:rPr>
      </w:pPr>
    </w:p>
    <w:p w14:paraId="1D951D07" w14:textId="77777777" w:rsidR="000C638C" w:rsidRDefault="000C638C" w:rsidP="000C638C">
      <w:pPr>
        <w:pStyle w:val="Paragraphedeliste"/>
        <w:pBdr>
          <w:top w:val="nil"/>
          <w:left w:val="nil"/>
          <w:bottom w:val="nil"/>
          <w:right w:val="nil"/>
          <w:between w:val="nil"/>
        </w:pBdr>
        <w:tabs>
          <w:tab w:val="left" w:pos="1307"/>
        </w:tabs>
        <w:jc w:val="both"/>
        <w:rPr>
          <w:i/>
          <w:sz w:val="18"/>
          <w:szCs w:val="18"/>
        </w:rPr>
      </w:pPr>
    </w:p>
    <w:p w14:paraId="74806CE6" w14:textId="3C80359A" w:rsidR="00580724" w:rsidRPr="000C638C" w:rsidRDefault="00580724" w:rsidP="000C638C">
      <w:pPr>
        <w:pStyle w:val="Paragraphedeliste"/>
        <w:pBdr>
          <w:top w:val="nil"/>
          <w:left w:val="nil"/>
          <w:bottom w:val="nil"/>
          <w:right w:val="nil"/>
          <w:between w:val="nil"/>
        </w:pBdr>
        <w:tabs>
          <w:tab w:val="left" w:pos="1307"/>
        </w:tabs>
        <w:jc w:val="both"/>
        <w:rPr>
          <w:i/>
          <w:sz w:val="18"/>
          <w:szCs w:val="18"/>
        </w:rPr>
      </w:pPr>
      <w:r w:rsidRPr="000C638C">
        <w:rPr>
          <w:i/>
          <w:sz w:val="18"/>
          <w:szCs w:val="18"/>
        </w:rPr>
        <w:t xml:space="preserve">Source : site </w:t>
      </w:r>
      <w:r w:rsidR="009D15E7">
        <w:rPr>
          <w:i/>
          <w:sz w:val="18"/>
          <w:szCs w:val="18"/>
        </w:rPr>
        <w:t>w</w:t>
      </w:r>
      <w:r w:rsidRPr="000C638C">
        <w:rPr>
          <w:i/>
          <w:sz w:val="18"/>
          <w:szCs w:val="18"/>
        </w:rPr>
        <w:t>eb de la Commission européenne</w:t>
      </w:r>
      <w:r w:rsidR="001F2129">
        <w:rPr>
          <w:i/>
          <w:sz w:val="18"/>
          <w:szCs w:val="18"/>
        </w:rPr>
        <w:t xml:space="preserve"> : </w:t>
      </w:r>
      <w:hyperlink r:id="rId16" w:history="1">
        <w:r w:rsidR="001F2129" w:rsidRPr="003E1AD1">
          <w:rPr>
            <w:rStyle w:val="Lienhypertexte"/>
            <w:i/>
            <w:sz w:val="18"/>
            <w:szCs w:val="18"/>
          </w:rPr>
          <w:t>https://ec.europa.eu/clima/policies/innovation-fund_en</w:t>
        </w:r>
      </w:hyperlink>
      <w:r w:rsidR="001F2129">
        <w:rPr>
          <w:i/>
          <w:sz w:val="18"/>
          <w:szCs w:val="18"/>
        </w:rPr>
        <w:t xml:space="preserve"> </w:t>
      </w:r>
    </w:p>
    <w:p w14:paraId="7DDE96E8" w14:textId="77777777" w:rsidR="00515BA4" w:rsidRPr="00515BA4" w:rsidRDefault="00515BA4" w:rsidP="005F3CC1">
      <w:pPr>
        <w:pStyle w:val="Paragraphedeliste"/>
        <w:numPr>
          <w:ilvl w:val="0"/>
          <w:numId w:val="27"/>
        </w:numPr>
        <w:pBdr>
          <w:top w:val="nil"/>
          <w:left w:val="nil"/>
          <w:bottom w:val="nil"/>
          <w:right w:val="nil"/>
          <w:between w:val="nil"/>
        </w:pBdr>
        <w:tabs>
          <w:tab w:val="left" w:pos="1307"/>
        </w:tabs>
        <w:jc w:val="both"/>
      </w:pPr>
      <w:r>
        <w:rPr>
          <w:b/>
          <w:bCs/>
          <w:color w:val="000000"/>
        </w:rPr>
        <w:t>Processus de sélection :</w:t>
      </w:r>
    </w:p>
    <w:p w14:paraId="5F503D16" w14:textId="77777777" w:rsidR="00F67F95" w:rsidRDefault="005F3CC1" w:rsidP="0069390D">
      <w:pPr>
        <w:numPr>
          <w:ilvl w:val="1"/>
          <w:numId w:val="1"/>
        </w:numPr>
        <w:tabs>
          <w:tab w:val="left" w:pos="1307"/>
        </w:tabs>
        <w:jc w:val="both"/>
      </w:pPr>
      <w:r>
        <w:t>Un a</w:t>
      </w:r>
      <w:r w:rsidR="00515BA4">
        <w:t>ppel à projets annuel en deux étapes (</w:t>
      </w:r>
      <w:r>
        <w:t>sous condition</w:t>
      </w:r>
      <w:r w:rsidR="00515BA4">
        <w:t xml:space="preserve"> des ressource</w:t>
      </w:r>
      <w:r w:rsidR="0061070C">
        <w:t>s</w:t>
      </w:r>
      <w:r w:rsidR="00515BA4">
        <w:t xml:space="preserve"> rendues disponibles par le système d’échange de quotas européen)</w:t>
      </w:r>
      <w:r w:rsidR="0069390D">
        <w:t xml:space="preserve">. </w:t>
      </w:r>
      <w:r w:rsidR="00F67F95">
        <w:t>Il s’écoule</w:t>
      </w:r>
      <w:r w:rsidR="0069390D">
        <w:t xml:space="preserve"> </w:t>
      </w:r>
      <w:r w:rsidR="00F67F95">
        <w:t>environ 1 an et demi entre la publication de l’appel et la signature du contrat de subvention.</w:t>
      </w:r>
    </w:p>
    <w:p w14:paraId="24446A1B" w14:textId="77777777" w:rsidR="0069390D" w:rsidRDefault="0069390D" w:rsidP="0069390D">
      <w:pPr>
        <w:numPr>
          <w:ilvl w:val="1"/>
          <w:numId w:val="1"/>
        </w:numPr>
        <w:tabs>
          <w:tab w:val="left" w:pos="1307"/>
        </w:tabs>
        <w:jc w:val="both"/>
      </w:pPr>
      <w:r>
        <w:t>Taux de sélection :</w:t>
      </w:r>
    </w:p>
    <w:p w14:paraId="6FA763F9" w14:textId="77777777" w:rsidR="0069390D" w:rsidRDefault="0069390D" w:rsidP="0069390D">
      <w:pPr>
        <w:pStyle w:val="Paragraphedeliste"/>
        <w:numPr>
          <w:ilvl w:val="0"/>
          <w:numId w:val="24"/>
        </w:numPr>
        <w:tabs>
          <w:tab w:val="left" w:pos="1307"/>
        </w:tabs>
        <w:jc w:val="both"/>
      </w:pPr>
      <w:r>
        <w:t>En étape 1 : environ 20% (au moins 70 candidatures sont retenues de manière à ce que les projets invités en étape 2 représentent environ 2,5 fois l’enveloppe budgétaire disponible)</w:t>
      </w:r>
    </w:p>
    <w:p w14:paraId="03B34351" w14:textId="77777777" w:rsidR="0069390D" w:rsidRDefault="0069390D" w:rsidP="0069390D">
      <w:pPr>
        <w:pStyle w:val="Paragraphedeliste"/>
        <w:numPr>
          <w:ilvl w:val="0"/>
          <w:numId w:val="24"/>
        </w:numPr>
        <w:tabs>
          <w:tab w:val="left" w:pos="1307"/>
        </w:tabs>
        <w:jc w:val="both"/>
      </w:pPr>
      <w:r>
        <w:t>En étape 2 : environ 40%.</w:t>
      </w:r>
    </w:p>
    <w:p w14:paraId="0F2A37A5" w14:textId="77777777" w:rsidR="00515BA4" w:rsidRDefault="005F3CC1" w:rsidP="00515BA4">
      <w:pPr>
        <w:numPr>
          <w:ilvl w:val="1"/>
          <w:numId w:val="1"/>
        </w:numPr>
        <w:tabs>
          <w:tab w:val="left" w:pos="1307"/>
        </w:tabs>
        <w:jc w:val="both"/>
      </w:pPr>
      <w:r>
        <w:t>Critères d’évaluation des projets :</w:t>
      </w:r>
    </w:p>
    <w:tbl>
      <w:tblPr>
        <w:tblStyle w:val="TableauGrille4-Accentuation4"/>
        <w:tblW w:w="0" w:type="auto"/>
        <w:tblLook w:val="04A0" w:firstRow="1" w:lastRow="0" w:firstColumn="1" w:lastColumn="0" w:noHBand="0" w:noVBand="1"/>
      </w:tblPr>
      <w:tblGrid>
        <w:gridCol w:w="4248"/>
        <w:gridCol w:w="5523"/>
      </w:tblGrid>
      <w:tr w:rsidR="005F3CC1" w14:paraId="6C025378" w14:textId="77777777" w:rsidTr="005D1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61A577C7" w14:textId="77777777" w:rsidR="005F3CC1" w:rsidRDefault="005D1E0A" w:rsidP="005F3CC1">
            <w:pPr>
              <w:tabs>
                <w:tab w:val="left" w:pos="1307"/>
              </w:tabs>
              <w:jc w:val="both"/>
            </w:pPr>
            <w:r>
              <w:t>Critères de l’étape</w:t>
            </w:r>
            <w:r w:rsidR="005F3CC1">
              <w:t xml:space="preserve"> 1</w:t>
            </w:r>
          </w:p>
        </w:tc>
        <w:tc>
          <w:tcPr>
            <w:tcW w:w="5523" w:type="dxa"/>
          </w:tcPr>
          <w:p w14:paraId="23F0E808" w14:textId="77777777" w:rsidR="005F3CC1" w:rsidRDefault="005D1E0A" w:rsidP="005F3CC1">
            <w:pPr>
              <w:tabs>
                <w:tab w:val="left" w:pos="1307"/>
              </w:tabs>
              <w:jc w:val="both"/>
              <w:cnfStyle w:val="100000000000" w:firstRow="1" w:lastRow="0" w:firstColumn="0" w:lastColumn="0" w:oddVBand="0" w:evenVBand="0" w:oddHBand="0" w:evenHBand="0" w:firstRowFirstColumn="0" w:firstRowLastColumn="0" w:lastRowFirstColumn="0" w:lastRowLastColumn="0"/>
            </w:pPr>
            <w:r>
              <w:t>Critères de l’étape</w:t>
            </w:r>
            <w:r w:rsidR="005F3CC1">
              <w:t xml:space="preserve"> 2</w:t>
            </w:r>
          </w:p>
        </w:tc>
      </w:tr>
      <w:tr w:rsidR="005F3CC1" w14:paraId="59CCA7C1" w14:textId="77777777" w:rsidTr="005D1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30491742" w14:textId="77777777" w:rsidR="005F3CC1" w:rsidRPr="005F3CC1" w:rsidRDefault="005F3CC1" w:rsidP="005F3CC1">
            <w:pPr>
              <w:tabs>
                <w:tab w:val="left" w:pos="1307"/>
              </w:tabs>
              <w:jc w:val="both"/>
              <w:rPr>
                <w:b w:val="0"/>
                <w:bCs w:val="0"/>
              </w:rPr>
            </w:pPr>
            <w:r w:rsidRPr="005F3CC1">
              <w:rPr>
                <w:b w:val="0"/>
                <w:bCs w:val="0"/>
              </w:rPr>
              <w:t>Potentiel d’</w:t>
            </w:r>
            <w:r>
              <w:rPr>
                <w:b w:val="0"/>
                <w:bCs w:val="0"/>
              </w:rPr>
              <w:t xml:space="preserve">évitement d’émissions de gaz à effet de serre – une </w:t>
            </w:r>
            <w:hyperlink r:id="rId17" w:history="1">
              <w:r w:rsidRPr="005F3CC1">
                <w:rPr>
                  <w:rStyle w:val="Lienhypertexte"/>
                  <w:b w:val="0"/>
                  <w:bCs w:val="0"/>
                </w:rPr>
                <w:t>annexe spécifique</w:t>
              </w:r>
            </w:hyperlink>
            <w:r>
              <w:rPr>
                <w:b w:val="0"/>
                <w:bCs w:val="0"/>
              </w:rPr>
              <w:t xml:space="preserve"> donne des indications aux candidats pour </w:t>
            </w:r>
            <w:r w:rsidR="00DC13FA">
              <w:rPr>
                <w:b w:val="0"/>
                <w:bCs w:val="0"/>
              </w:rPr>
              <w:t>ce</w:t>
            </w:r>
            <w:r>
              <w:rPr>
                <w:b w:val="0"/>
                <w:bCs w:val="0"/>
              </w:rPr>
              <w:t xml:space="preserve"> calcul</w:t>
            </w:r>
          </w:p>
        </w:tc>
        <w:tc>
          <w:tcPr>
            <w:tcW w:w="5523" w:type="dxa"/>
          </w:tcPr>
          <w:p w14:paraId="7F0E11C5" w14:textId="77777777" w:rsidR="005F3CC1" w:rsidRPr="005F3CC1" w:rsidRDefault="005F3CC1" w:rsidP="005F3CC1">
            <w:pPr>
              <w:tabs>
                <w:tab w:val="left" w:pos="1307"/>
              </w:tabs>
              <w:jc w:val="both"/>
              <w:cnfStyle w:val="000000100000" w:firstRow="0" w:lastRow="0" w:firstColumn="0" w:lastColumn="0" w:oddVBand="0" w:evenVBand="0" w:oddHBand="1" w:evenHBand="0" w:firstRowFirstColumn="0" w:firstRowLastColumn="0" w:lastRowFirstColumn="0" w:lastRowLastColumn="0"/>
            </w:pPr>
            <w:r w:rsidRPr="005F3CC1">
              <w:t>Potentiel d’évitement d’émissions de gaz à effet de serre</w:t>
            </w:r>
            <w:r w:rsidR="005D1E0A">
              <w:t xml:space="preserve"> selon une méthodologie plus détaillée que lors de l’étape 1 (se référer à l’</w:t>
            </w:r>
            <w:hyperlink r:id="rId18" w:history="1">
              <w:r w:rsidR="005D1E0A" w:rsidRPr="005D1E0A">
                <w:rPr>
                  <w:rStyle w:val="Lienhypertexte"/>
                </w:rPr>
                <w:t>annexe</w:t>
              </w:r>
            </w:hyperlink>
            <w:r w:rsidR="005D1E0A">
              <w:t xml:space="preserve"> correspondante)</w:t>
            </w:r>
          </w:p>
        </w:tc>
      </w:tr>
      <w:tr w:rsidR="005F3CC1" w14:paraId="326393A4" w14:textId="77777777" w:rsidTr="005D1E0A">
        <w:tc>
          <w:tcPr>
            <w:cnfStyle w:val="001000000000" w:firstRow="0" w:lastRow="0" w:firstColumn="1" w:lastColumn="0" w:oddVBand="0" w:evenVBand="0" w:oddHBand="0" w:evenHBand="0" w:firstRowFirstColumn="0" w:firstRowLastColumn="0" w:lastRowFirstColumn="0" w:lastRowLastColumn="0"/>
            <w:tcW w:w="4248" w:type="dxa"/>
          </w:tcPr>
          <w:p w14:paraId="1B4C7440" w14:textId="77777777" w:rsidR="005F3CC1" w:rsidRPr="005F3CC1" w:rsidRDefault="005F3CC1" w:rsidP="005F3CC1">
            <w:pPr>
              <w:tabs>
                <w:tab w:val="left" w:pos="1307"/>
              </w:tabs>
              <w:jc w:val="both"/>
              <w:rPr>
                <w:b w:val="0"/>
                <w:bCs w:val="0"/>
              </w:rPr>
            </w:pPr>
            <w:r>
              <w:rPr>
                <w:b w:val="0"/>
                <w:bCs w:val="0"/>
              </w:rPr>
              <w:t>Degré d’innovation</w:t>
            </w:r>
          </w:p>
        </w:tc>
        <w:tc>
          <w:tcPr>
            <w:tcW w:w="5523" w:type="dxa"/>
          </w:tcPr>
          <w:p w14:paraId="5F148C9F" w14:textId="77777777" w:rsidR="005F3CC1" w:rsidRPr="005F3CC1" w:rsidRDefault="005F3CC1" w:rsidP="005F3CC1">
            <w:pPr>
              <w:tabs>
                <w:tab w:val="left" w:pos="1307"/>
              </w:tabs>
              <w:jc w:val="both"/>
              <w:cnfStyle w:val="000000000000" w:firstRow="0" w:lastRow="0" w:firstColumn="0" w:lastColumn="0" w:oddVBand="0" w:evenVBand="0" w:oddHBand="0" w:evenHBand="0" w:firstRowFirstColumn="0" w:firstRowLastColumn="0" w:lastRowFirstColumn="0" w:lastRowLastColumn="0"/>
            </w:pPr>
            <w:r w:rsidRPr="005F3CC1">
              <w:t>Degré d’innovation</w:t>
            </w:r>
            <w:r w:rsidR="005D1E0A">
              <w:t xml:space="preserve"> et la contribution à des politiques européennes (efficacité énergétique, économie circulaire, développement des énergies renouvelables, etc.).</w:t>
            </w:r>
          </w:p>
        </w:tc>
      </w:tr>
      <w:tr w:rsidR="005F3CC1" w14:paraId="717F36C7" w14:textId="77777777" w:rsidTr="005D1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3123D94A" w14:textId="77777777" w:rsidR="005F3CC1" w:rsidRPr="005F3CC1" w:rsidRDefault="005F3CC1" w:rsidP="005F3CC1">
            <w:pPr>
              <w:tabs>
                <w:tab w:val="left" w:pos="1307"/>
              </w:tabs>
              <w:jc w:val="both"/>
              <w:rPr>
                <w:b w:val="0"/>
                <w:bCs w:val="0"/>
              </w:rPr>
            </w:pPr>
            <w:r>
              <w:rPr>
                <w:b w:val="0"/>
                <w:bCs w:val="0"/>
              </w:rPr>
              <w:t>Maturité du projet</w:t>
            </w:r>
            <w:r w:rsidR="00DC13FA">
              <w:rPr>
                <w:b w:val="0"/>
                <w:bCs w:val="0"/>
              </w:rPr>
              <w:t xml:space="preserve"> des points de vue technique</w:t>
            </w:r>
            <w:r w:rsidR="005D1E0A">
              <w:rPr>
                <w:b w:val="0"/>
                <w:bCs w:val="0"/>
              </w:rPr>
              <w:t xml:space="preserve">, </w:t>
            </w:r>
            <w:r w:rsidR="00DC13FA">
              <w:rPr>
                <w:b w:val="0"/>
                <w:bCs w:val="0"/>
              </w:rPr>
              <w:t>financier et opérationnel</w:t>
            </w:r>
          </w:p>
        </w:tc>
        <w:tc>
          <w:tcPr>
            <w:tcW w:w="5523" w:type="dxa"/>
          </w:tcPr>
          <w:p w14:paraId="4753B623" w14:textId="77777777" w:rsidR="005F3CC1" w:rsidRPr="005F3CC1" w:rsidRDefault="005F3CC1" w:rsidP="005F3CC1">
            <w:pPr>
              <w:tabs>
                <w:tab w:val="left" w:pos="1307"/>
              </w:tabs>
              <w:jc w:val="both"/>
              <w:cnfStyle w:val="000000100000" w:firstRow="0" w:lastRow="0" w:firstColumn="0" w:lastColumn="0" w:oddVBand="0" w:evenVBand="0" w:oddHBand="1" w:evenHBand="0" w:firstRowFirstColumn="0" w:firstRowLastColumn="0" w:lastRowFirstColumn="0" w:lastRowLastColumn="0"/>
            </w:pPr>
            <w:r w:rsidRPr="005F3CC1">
              <w:t>Maturité du projet</w:t>
            </w:r>
            <w:r w:rsidR="005D1E0A">
              <w:t xml:space="preserve"> – sur la base d’informations plus détaillées que lors de l’étape 1.</w:t>
            </w:r>
          </w:p>
        </w:tc>
      </w:tr>
      <w:tr w:rsidR="005F3CC1" w14:paraId="193A0CDB" w14:textId="77777777" w:rsidTr="005D1E0A">
        <w:tc>
          <w:tcPr>
            <w:cnfStyle w:val="001000000000" w:firstRow="0" w:lastRow="0" w:firstColumn="1" w:lastColumn="0" w:oddVBand="0" w:evenVBand="0" w:oddHBand="0" w:evenHBand="0" w:firstRowFirstColumn="0" w:firstRowLastColumn="0" w:lastRowFirstColumn="0" w:lastRowLastColumn="0"/>
            <w:tcW w:w="4248" w:type="dxa"/>
          </w:tcPr>
          <w:p w14:paraId="386556DF" w14:textId="77777777" w:rsidR="005F3CC1" w:rsidRPr="005F3CC1" w:rsidRDefault="005F3CC1" w:rsidP="00AF4420">
            <w:pPr>
              <w:tabs>
                <w:tab w:val="left" w:pos="1307"/>
              </w:tabs>
              <w:jc w:val="center"/>
              <w:rPr>
                <w:b w:val="0"/>
                <w:bCs w:val="0"/>
              </w:rPr>
            </w:pPr>
            <w:r>
              <w:rPr>
                <w:b w:val="0"/>
                <w:bCs w:val="0"/>
              </w:rPr>
              <w:t>-</w:t>
            </w:r>
          </w:p>
        </w:tc>
        <w:tc>
          <w:tcPr>
            <w:tcW w:w="5523" w:type="dxa"/>
          </w:tcPr>
          <w:p w14:paraId="22C2761D" w14:textId="77777777" w:rsidR="005F3CC1" w:rsidRPr="005F3CC1" w:rsidRDefault="005F3CC1" w:rsidP="005F3CC1">
            <w:pPr>
              <w:tabs>
                <w:tab w:val="left" w:pos="1307"/>
              </w:tabs>
              <w:jc w:val="both"/>
              <w:cnfStyle w:val="000000000000" w:firstRow="0" w:lastRow="0" w:firstColumn="0" w:lastColumn="0" w:oddVBand="0" w:evenVBand="0" w:oddHBand="0" w:evenHBand="0" w:firstRowFirstColumn="0" w:firstRowLastColumn="0" w:lastRowFirstColumn="0" w:lastRowLastColumn="0"/>
            </w:pPr>
            <w:r>
              <w:t>Potentiel de passage à une plus grande échelle (</w:t>
            </w:r>
            <w:proofErr w:type="spellStart"/>
            <w:r>
              <w:rPr>
                <w:i/>
                <w:iCs/>
              </w:rPr>
              <w:t>scalability</w:t>
            </w:r>
            <w:proofErr w:type="spellEnd"/>
            <w:r>
              <w:t>)</w:t>
            </w:r>
            <w:r w:rsidR="005D1E0A">
              <w:t> : au niveau du projet et de l’économie régionale (création d’emplois, etc.), au niveau du secteur économique et au niveau d’autres secteurs économiques et chaînes de valeur.</w:t>
            </w:r>
          </w:p>
        </w:tc>
      </w:tr>
      <w:tr w:rsidR="005F3CC1" w14:paraId="1537D3F3" w14:textId="77777777" w:rsidTr="005D1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630BEAA0" w14:textId="77777777" w:rsidR="005F3CC1" w:rsidRPr="005F3CC1" w:rsidRDefault="005F3CC1" w:rsidP="00AF4420">
            <w:pPr>
              <w:tabs>
                <w:tab w:val="left" w:pos="1307"/>
              </w:tabs>
              <w:jc w:val="center"/>
              <w:rPr>
                <w:b w:val="0"/>
                <w:bCs w:val="0"/>
              </w:rPr>
            </w:pPr>
            <w:r>
              <w:rPr>
                <w:b w:val="0"/>
                <w:bCs w:val="0"/>
              </w:rPr>
              <w:t>-</w:t>
            </w:r>
          </w:p>
        </w:tc>
        <w:tc>
          <w:tcPr>
            <w:tcW w:w="5523" w:type="dxa"/>
          </w:tcPr>
          <w:p w14:paraId="5B34D763" w14:textId="77777777" w:rsidR="005F3CC1" w:rsidRPr="005F3CC1" w:rsidRDefault="005F3CC1" w:rsidP="005D1E0A">
            <w:pPr>
              <w:tabs>
                <w:tab w:val="left" w:pos="1307"/>
              </w:tabs>
              <w:jc w:val="both"/>
              <w:cnfStyle w:val="000000100000" w:firstRow="0" w:lastRow="0" w:firstColumn="0" w:lastColumn="0" w:oddVBand="0" w:evenVBand="0" w:oddHBand="1" w:evenHBand="0" w:firstRowFirstColumn="0" w:firstRowLastColumn="0" w:lastRowFirstColumn="0" w:lastRowLastColumn="0"/>
            </w:pPr>
            <w:r>
              <w:t>Rapport coût-efficacité</w:t>
            </w:r>
            <w:r w:rsidR="005D1E0A">
              <w:t xml:space="preserve">, c’est-à-dire le rapport entre les coûts du projet et les émissions de GES évitées (se référer à </w:t>
            </w:r>
            <w:hyperlink r:id="rId19" w:history="1">
              <w:r w:rsidR="005D1E0A" w:rsidRPr="005D1E0A">
                <w:rPr>
                  <w:rStyle w:val="Lienhypertexte"/>
                </w:rPr>
                <w:t>l’annexe</w:t>
              </w:r>
            </w:hyperlink>
            <w:r w:rsidR="005D1E0A">
              <w:t xml:space="preserve"> correspondante).</w:t>
            </w:r>
          </w:p>
        </w:tc>
      </w:tr>
    </w:tbl>
    <w:p w14:paraId="19CAC2BC" w14:textId="77777777" w:rsidR="00F67F95" w:rsidRDefault="00515BA4" w:rsidP="00F67F95">
      <w:pPr>
        <w:numPr>
          <w:ilvl w:val="1"/>
          <w:numId w:val="1"/>
        </w:numPr>
        <w:tabs>
          <w:tab w:val="left" w:pos="1307"/>
        </w:tabs>
        <w:jc w:val="both"/>
      </w:pPr>
      <w:r>
        <w:t>La rédaction</w:t>
      </w:r>
      <w:r w:rsidR="00284697">
        <w:t xml:space="preserve"> du dossier de candidature</w:t>
      </w:r>
      <w:r>
        <w:t xml:space="preserve"> en anglais est fortement encouragée.</w:t>
      </w:r>
    </w:p>
    <w:p w14:paraId="129D5548" w14:textId="77777777" w:rsidR="00CC781C" w:rsidRPr="00CC6D0D" w:rsidRDefault="00E11CFE" w:rsidP="00F67F95">
      <w:pPr>
        <w:numPr>
          <w:ilvl w:val="1"/>
          <w:numId w:val="1"/>
        </w:numPr>
        <w:tabs>
          <w:tab w:val="left" w:pos="1307"/>
        </w:tabs>
        <w:jc w:val="both"/>
      </w:pPr>
      <w:r w:rsidRPr="00CC6D0D">
        <w:rPr>
          <w:color w:val="000000"/>
        </w:rPr>
        <w:t xml:space="preserve">A titre indicatif, le dossier de candidature </w:t>
      </w:r>
      <w:r w:rsidR="00CC6D0D" w:rsidRPr="00CC6D0D">
        <w:rPr>
          <w:color w:val="000000"/>
        </w:rPr>
        <w:t>(</w:t>
      </w:r>
      <w:r w:rsidR="00CC6D0D">
        <w:rPr>
          <w:color w:val="000000"/>
        </w:rPr>
        <w:t xml:space="preserve">partie </w:t>
      </w:r>
      <w:r w:rsidR="00CC6D0D" w:rsidRPr="00CC6D0D">
        <w:rPr>
          <w:color w:val="000000"/>
        </w:rPr>
        <w:t>description technique – hors annexe</w:t>
      </w:r>
      <w:r w:rsidR="00CC6D0D">
        <w:rPr>
          <w:color w:val="000000"/>
        </w:rPr>
        <w:t>s</w:t>
      </w:r>
      <w:r w:rsidR="00CC6D0D" w:rsidRPr="00CC6D0D">
        <w:rPr>
          <w:color w:val="000000"/>
        </w:rPr>
        <w:t>)</w:t>
      </w:r>
      <w:r w:rsidR="00CC6D0D">
        <w:rPr>
          <w:color w:val="000000"/>
        </w:rPr>
        <w:t xml:space="preserve"> </w:t>
      </w:r>
      <w:r w:rsidRPr="00CC6D0D">
        <w:rPr>
          <w:color w:val="000000"/>
        </w:rPr>
        <w:t>pour l’étape 2 de l’appel 2020 ne d</w:t>
      </w:r>
      <w:r w:rsidR="003929EF">
        <w:rPr>
          <w:color w:val="000000"/>
        </w:rPr>
        <w:t>evait</w:t>
      </w:r>
      <w:r w:rsidRPr="00CC6D0D">
        <w:rPr>
          <w:color w:val="000000"/>
        </w:rPr>
        <w:t xml:space="preserve"> pas dépasser 70 page</w:t>
      </w:r>
      <w:r w:rsidR="00CC6D0D" w:rsidRPr="00CC6D0D">
        <w:rPr>
          <w:color w:val="000000"/>
        </w:rPr>
        <w:t>s.</w:t>
      </w:r>
    </w:p>
    <w:bookmarkEnd w:id="0"/>
    <w:p w14:paraId="38DD5A5D" w14:textId="77777777" w:rsidR="00AE0853" w:rsidRDefault="00AE0853" w:rsidP="00AE0853">
      <w:pPr>
        <w:pBdr>
          <w:top w:val="nil"/>
          <w:left w:val="nil"/>
          <w:bottom w:val="nil"/>
          <w:right w:val="nil"/>
          <w:between w:val="nil"/>
        </w:pBdr>
        <w:tabs>
          <w:tab w:val="left" w:pos="1307"/>
        </w:tabs>
        <w:jc w:val="both"/>
        <w:rPr>
          <w:color w:val="000000"/>
        </w:rPr>
      </w:pPr>
    </w:p>
    <w:p w14:paraId="1EE065E6" w14:textId="77777777" w:rsidR="00AE0853" w:rsidRDefault="00AE0853" w:rsidP="00AE0853">
      <w:pPr>
        <w:pStyle w:val="Style1"/>
        <w:rPr>
          <w:lang w:val="en-US"/>
        </w:rPr>
      </w:pPr>
      <w:r w:rsidRPr="00AE0853">
        <w:rPr>
          <w:lang w:val="en-US"/>
        </w:rPr>
        <w:t xml:space="preserve">Small-scale </w:t>
      </w:r>
      <w:proofErr w:type="gramStart"/>
      <w:r w:rsidRPr="00AE0853">
        <w:rPr>
          <w:lang w:val="en-US"/>
        </w:rPr>
        <w:t xml:space="preserve">projects </w:t>
      </w:r>
      <w:r w:rsidR="00CF74ED">
        <w:rPr>
          <w:lang w:val="en-US"/>
        </w:rPr>
        <w:t>:</w:t>
      </w:r>
      <w:proofErr w:type="gramEnd"/>
      <w:r w:rsidRPr="00AE0853">
        <w:rPr>
          <w:lang w:val="en-US"/>
        </w:rPr>
        <w:t xml:space="preserve"> </w:t>
      </w:r>
      <w:r w:rsidR="00DB6230">
        <w:rPr>
          <w:lang w:val="en-US"/>
        </w:rPr>
        <w:t>2 500</w:t>
      </w:r>
      <w:r w:rsidR="00F67F95">
        <w:rPr>
          <w:lang w:val="en-US"/>
        </w:rPr>
        <w:t> </w:t>
      </w:r>
      <w:r w:rsidR="00DB6230">
        <w:rPr>
          <w:lang w:val="en-US"/>
        </w:rPr>
        <w:t>000</w:t>
      </w:r>
      <w:r w:rsidR="00F67F95">
        <w:rPr>
          <w:lang w:val="en-US"/>
        </w:rPr>
        <w:t xml:space="preserve"> € </w:t>
      </w:r>
      <w:r w:rsidR="00DB6230">
        <w:rPr>
          <w:lang w:val="en-US"/>
        </w:rPr>
        <w:t xml:space="preserve">&lt; </w:t>
      </w:r>
      <w:r w:rsidRPr="00AE0853">
        <w:rPr>
          <w:lang w:val="en-US"/>
        </w:rPr>
        <w:t xml:space="preserve">CAPEX &lt; 7 500 000 </w:t>
      </w:r>
      <w:r>
        <w:rPr>
          <w:lang w:val="en-US"/>
        </w:rPr>
        <w:t>€</w:t>
      </w:r>
    </w:p>
    <w:p w14:paraId="21B1E04E" w14:textId="77777777" w:rsidR="00AE0853" w:rsidRDefault="00AE0853" w:rsidP="00AE0853">
      <w:pPr>
        <w:pBdr>
          <w:top w:val="nil"/>
          <w:left w:val="nil"/>
          <w:bottom w:val="nil"/>
          <w:right w:val="nil"/>
          <w:between w:val="nil"/>
        </w:pBdr>
        <w:tabs>
          <w:tab w:val="left" w:pos="1307"/>
        </w:tabs>
        <w:jc w:val="both"/>
      </w:pPr>
    </w:p>
    <w:p w14:paraId="3FF6C935" w14:textId="77777777" w:rsidR="0050528A" w:rsidRDefault="0050528A" w:rsidP="0050528A">
      <w:pPr>
        <w:pStyle w:val="Paragraphedeliste"/>
        <w:numPr>
          <w:ilvl w:val="0"/>
          <w:numId w:val="28"/>
        </w:numPr>
        <w:pBdr>
          <w:top w:val="nil"/>
          <w:left w:val="nil"/>
          <w:bottom w:val="nil"/>
          <w:right w:val="nil"/>
          <w:between w:val="nil"/>
        </w:pBdr>
        <w:tabs>
          <w:tab w:val="left" w:pos="1307"/>
        </w:tabs>
        <w:jc w:val="both"/>
      </w:pPr>
      <w:r>
        <w:t xml:space="preserve">Les projets recherchés sont des </w:t>
      </w:r>
      <w:r w:rsidRPr="00552DB9">
        <w:rPr>
          <w:b/>
          <w:bCs/>
        </w:rPr>
        <w:t>projets</w:t>
      </w:r>
      <w:r w:rsidR="00BF5025" w:rsidRPr="00552DB9">
        <w:rPr>
          <w:b/>
          <w:bCs/>
        </w:rPr>
        <w:t xml:space="preserve"> à petite échelle</w:t>
      </w:r>
      <w:r w:rsidRPr="00552DB9">
        <w:rPr>
          <w:b/>
          <w:bCs/>
        </w:rPr>
        <w:t xml:space="preserve"> démontrant des technologies</w:t>
      </w:r>
      <w:r w:rsidRPr="00B31CE8">
        <w:rPr>
          <w:b/>
          <w:bCs/>
        </w:rPr>
        <w:t>, des processus ou des produits très innovants</w:t>
      </w:r>
      <w:r>
        <w:t xml:space="preserve">, suffisamment matures et dotés d’un potentiel significatif de réduction des émissions de gaz à effet de serre (GES), </w:t>
      </w:r>
      <w:r w:rsidRPr="00B31CE8">
        <w:rPr>
          <w:b/>
          <w:bCs/>
        </w:rPr>
        <w:t xml:space="preserve">dans les activités et secteurs </w:t>
      </w:r>
      <w:proofErr w:type="spellStart"/>
      <w:r w:rsidRPr="00B31CE8">
        <w:rPr>
          <w:b/>
          <w:bCs/>
        </w:rPr>
        <w:t>sus-cités</w:t>
      </w:r>
      <w:proofErr w:type="spellEnd"/>
      <w:r>
        <w:t>.</w:t>
      </w:r>
    </w:p>
    <w:p w14:paraId="7991CAEB" w14:textId="77777777" w:rsidR="00BF5025" w:rsidRDefault="00BF5025" w:rsidP="0050528A">
      <w:pPr>
        <w:pStyle w:val="Paragraphedeliste"/>
        <w:numPr>
          <w:ilvl w:val="0"/>
          <w:numId w:val="28"/>
        </w:numPr>
        <w:pBdr>
          <w:top w:val="nil"/>
          <w:left w:val="nil"/>
          <w:bottom w:val="nil"/>
          <w:right w:val="nil"/>
          <w:between w:val="nil"/>
        </w:pBdr>
        <w:tabs>
          <w:tab w:val="left" w:pos="1307"/>
        </w:tabs>
        <w:jc w:val="both"/>
      </w:pPr>
      <w:r>
        <w:t>Cet appel vient en complément de l’appel pour les projets à grande échelle, avec pour objectif d’offrir aussi des opportunités pour des petites et moyennes entreprises (mais l’appel n’est pas pour autant limité aux PME).</w:t>
      </w:r>
    </w:p>
    <w:p w14:paraId="6922A350" w14:textId="381AC4FB" w:rsidR="00FF307A" w:rsidRPr="00FF307A" w:rsidRDefault="004E5A32" w:rsidP="00FF307A">
      <w:pPr>
        <w:pStyle w:val="Paragraphedeliste"/>
        <w:numPr>
          <w:ilvl w:val="0"/>
          <w:numId w:val="28"/>
        </w:numPr>
        <w:pBdr>
          <w:top w:val="nil"/>
          <w:left w:val="nil"/>
          <w:bottom w:val="nil"/>
          <w:right w:val="nil"/>
          <w:between w:val="nil"/>
        </w:pBdr>
        <w:tabs>
          <w:tab w:val="left" w:pos="1307"/>
        </w:tabs>
        <w:jc w:val="both"/>
        <w:rPr>
          <w:b/>
          <w:bCs/>
        </w:rPr>
      </w:pPr>
      <w:r>
        <w:t>A la différence des projets de grande échelle, l</w:t>
      </w:r>
      <w:r w:rsidR="00FF307A">
        <w:t xml:space="preserve">es </w:t>
      </w:r>
      <w:r w:rsidR="00FF307A" w:rsidRPr="00284697">
        <w:rPr>
          <w:b/>
          <w:bCs/>
        </w:rPr>
        <w:t>coûts éligibles</w:t>
      </w:r>
      <w:r>
        <w:rPr>
          <w:b/>
          <w:bCs/>
        </w:rPr>
        <w:t xml:space="preserve"> des projets de petite échelle</w:t>
      </w:r>
      <w:r w:rsidR="00FF307A" w:rsidRPr="00284697">
        <w:rPr>
          <w:b/>
          <w:bCs/>
        </w:rPr>
        <w:t xml:space="preserve"> sont les dépenses d’investissement</w:t>
      </w:r>
      <w:r w:rsidR="00FF307A">
        <w:t xml:space="preserve"> du projet, c’est-à-dire : les coûts de construction (tous les coûts liés à la </w:t>
      </w:r>
      <w:r w:rsidR="00FF307A">
        <w:lastRenderedPageBreak/>
        <w:t>conception, l'ingénierie, l'approvisionnement, la construction, la mise en service et les essais du projet), les coûts d’infrastructure du site, les coûts de développement, et les immobilisations incorporelles (brevets, etc.)</w:t>
      </w:r>
    </w:p>
    <w:p w14:paraId="70E01D56" w14:textId="77777777" w:rsidR="00FF307A" w:rsidRPr="00FF307A" w:rsidRDefault="00FF307A" w:rsidP="00FF307A">
      <w:pPr>
        <w:pStyle w:val="Paragraphedeliste"/>
        <w:numPr>
          <w:ilvl w:val="0"/>
          <w:numId w:val="28"/>
        </w:numPr>
        <w:pBdr>
          <w:top w:val="nil"/>
          <w:left w:val="nil"/>
          <w:bottom w:val="nil"/>
          <w:right w:val="nil"/>
          <w:between w:val="nil"/>
        </w:pBdr>
        <w:tabs>
          <w:tab w:val="left" w:pos="1307"/>
        </w:tabs>
        <w:jc w:val="both"/>
        <w:rPr>
          <w:b/>
          <w:bCs/>
        </w:rPr>
      </w:pPr>
      <w:r>
        <w:t xml:space="preserve">Le Fonds pour l’innovation </w:t>
      </w:r>
      <w:r w:rsidRPr="00FF307A">
        <w:rPr>
          <w:b/>
          <w:bCs/>
        </w:rPr>
        <w:t>finance</w:t>
      </w:r>
      <w:r w:rsidR="00622649">
        <w:rPr>
          <w:b/>
          <w:bCs/>
        </w:rPr>
        <w:t xml:space="preserve"> jusqu’à</w:t>
      </w:r>
      <w:r w:rsidRPr="00FF307A">
        <w:rPr>
          <w:b/>
          <w:bCs/>
        </w:rPr>
        <w:t xml:space="preserve"> 60% des coûts éligibles du projet</w:t>
      </w:r>
      <w:r w:rsidR="00622649">
        <w:rPr>
          <w:b/>
          <w:bCs/>
        </w:rPr>
        <w:t xml:space="preserve"> maximum</w:t>
      </w:r>
      <w:r w:rsidR="00284697">
        <w:t xml:space="preserve">. </w:t>
      </w:r>
      <w:r>
        <w:t xml:space="preserve">40% </w:t>
      </w:r>
      <w:r w:rsidR="00622649">
        <w:t>des dépenses d’investissement</w:t>
      </w:r>
      <w:r>
        <w:t xml:space="preserve"> reste donc à la charge du porteur de projet, qui peut pour les financer s’appuyer sur d’autres sources de financement, publiques ou privées</w:t>
      </w:r>
      <w:r w:rsidR="001461F6">
        <w:t xml:space="preserve"> (se référer à </w:t>
      </w:r>
      <w:hyperlink r:id="rId20" w:history="1">
        <w:r w:rsidR="001461F6" w:rsidRPr="001461F6">
          <w:rPr>
            <w:rStyle w:val="Lienhypertexte"/>
          </w:rPr>
          <w:t>ce document</w:t>
        </w:r>
      </w:hyperlink>
      <w:r w:rsidR="001461F6">
        <w:t xml:space="preserve"> pour plus d’informations sur les possibilités de combinaison avec d’autres sources de financement).</w:t>
      </w:r>
    </w:p>
    <w:p w14:paraId="60D24DF2" w14:textId="77777777" w:rsidR="00FF307A" w:rsidRDefault="00FF307A" w:rsidP="00FF307A">
      <w:pPr>
        <w:pStyle w:val="Paragraphedeliste"/>
        <w:numPr>
          <w:ilvl w:val="0"/>
          <w:numId w:val="28"/>
        </w:numPr>
        <w:pBdr>
          <w:top w:val="nil"/>
          <w:left w:val="nil"/>
          <w:bottom w:val="nil"/>
          <w:right w:val="nil"/>
          <w:between w:val="nil"/>
        </w:pBdr>
        <w:tabs>
          <w:tab w:val="left" w:pos="1307"/>
        </w:tabs>
        <w:jc w:val="both"/>
      </w:pPr>
      <w:r>
        <w:t xml:space="preserve">La </w:t>
      </w:r>
      <w:r w:rsidRPr="00FF307A">
        <w:rPr>
          <w:b/>
          <w:bCs/>
        </w:rPr>
        <w:t>subvention est découpée en plusieurs montants forfaitaires</w:t>
      </w:r>
      <w:r>
        <w:t xml:space="preserve">, qui sont versés sur </w:t>
      </w:r>
      <w:r w:rsidR="00A35302">
        <w:t>au moment de la réalisation d’étapes-clefs du projet (jalons)</w:t>
      </w:r>
      <w:r>
        <w:t xml:space="preserve"> spécifiques (tels que le bouclage financier ou la mise en service, ou autres), définis dans le contrat de subvention, et en fonction de l’évitement effectif de GES après la mise en service de l’innovation.</w:t>
      </w:r>
    </w:p>
    <w:p w14:paraId="7F0537B8" w14:textId="77777777" w:rsidR="00FF307A" w:rsidRPr="00FF307A" w:rsidRDefault="00FF307A" w:rsidP="00FF307A">
      <w:pPr>
        <w:pStyle w:val="Paragraphedeliste"/>
        <w:pBdr>
          <w:top w:val="nil"/>
          <w:left w:val="nil"/>
          <w:bottom w:val="nil"/>
          <w:right w:val="nil"/>
          <w:between w:val="nil"/>
        </w:pBdr>
        <w:tabs>
          <w:tab w:val="left" w:pos="1307"/>
        </w:tabs>
        <w:ind w:left="360"/>
        <w:jc w:val="both"/>
        <w:rPr>
          <w:b/>
          <w:bCs/>
        </w:rPr>
      </w:pPr>
      <w:r>
        <w:t xml:space="preserve">Les versements ne sont donc pas basés sur les dépenses effectivement encourues mais sur la réalisation des activités et l’atteinte d’objectifs. Toutefois, les montants forfaitaires à verser définis dans la candidature pour chaque bénéficiaire et pour chaque action doivent rester proportionnels aux activités </w:t>
      </w:r>
      <w:r w:rsidR="00A35302">
        <w:t>menées par le porteur de projet</w:t>
      </w:r>
      <w:r>
        <w:t>.</w:t>
      </w:r>
    </w:p>
    <w:p w14:paraId="063782E3" w14:textId="77777777" w:rsidR="0050528A" w:rsidRDefault="0050528A" w:rsidP="0050528A">
      <w:pPr>
        <w:numPr>
          <w:ilvl w:val="0"/>
          <w:numId w:val="21"/>
        </w:numPr>
        <w:pBdr>
          <w:top w:val="nil"/>
          <w:left w:val="nil"/>
          <w:bottom w:val="nil"/>
          <w:right w:val="nil"/>
          <w:between w:val="nil"/>
        </w:pBdr>
        <w:tabs>
          <w:tab w:val="left" w:pos="1307"/>
        </w:tabs>
        <w:jc w:val="both"/>
      </w:pPr>
      <w:r>
        <w:t>Les projets se déroulent sur une longue période, composée de plusieurs étapes :</w:t>
      </w:r>
    </w:p>
    <w:p w14:paraId="1AA4E774" w14:textId="77777777" w:rsidR="0050528A" w:rsidRDefault="0050528A" w:rsidP="0050528A">
      <w:pPr>
        <w:numPr>
          <w:ilvl w:val="1"/>
          <w:numId w:val="21"/>
        </w:numPr>
        <w:pBdr>
          <w:top w:val="nil"/>
          <w:left w:val="nil"/>
          <w:bottom w:val="nil"/>
          <w:right w:val="nil"/>
          <w:between w:val="nil"/>
        </w:pBdr>
        <w:tabs>
          <w:tab w:val="left" w:pos="1418"/>
        </w:tabs>
        <w:jc w:val="both"/>
      </w:pPr>
      <w:r w:rsidRPr="00F67B5F">
        <w:rPr>
          <w:b/>
          <w:bCs/>
        </w:rPr>
        <w:t>Une première période de préparation du projet</w:t>
      </w:r>
      <w:r>
        <w:t xml:space="preserve"> entre la signature du contrat de subvention et le « bouclage financier » du projet, qui ne doit pas excéder 4 ans.</w:t>
      </w:r>
    </w:p>
    <w:p w14:paraId="43500E54" w14:textId="77777777" w:rsidR="0050528A" w:rsidRDefault="0050528A" w:rsidP="0050528A">
      <w:pPr>
        <w:pStyle w:val="Paragraphedeliste"/>
        <w:numPr>
          <w:ilvl w:val="0"/>
          <w:numId w:val="24"/>
        </w:numPr>
        <w:pBdr>
          <w:top w:val="nil"/>
          <w:left w:val="nil"/>
          <w:bottom w:val="nil"/>
          <w:right w:val="nil"/>
          <w:between w:val="nil"/>
        </w:pBdr>
        <w:tabs>
          <w:tab w:val="left" w:pos="1418"/>
        </w:tabs>
        <w:jc w:val="both"/>
      </w:pPr>
      <w:r>
        <w:t>Sur cette première période, jusqu’à 40% de la subvention peut déjà être versé, au moment du bouclage financier ou lors d’un jalon spécifique fixé dans le contrat de subvention</w:t>
      </w:r>
    </w:p>
    <w:p w14:paraId="71428767" w14:textId="77777777" w:rsidR="0050528A" w:rsidRDefault="0050528A" w:rsidP="0050528A">
      <w:pPr>
        <w:numPr>
          <w:ilvl w:val="1"/>
          <w:numId w:val="21"/>
        </w:numPr>
        <w:pBdr>
          <w:top w:val="nil"/>
          <w:left w:val="nil"/>
          <w:bottom w:val="nil"/>
          <w:right w:val="nil"/>
          <w:between w:val="nil"/>
        </w:pBdr>
        <w:tabs>
          <w:tab w:val="left" w:pos="1418"/>
        </w:tabs>
        <w:jc w:val="both"/>
      </w:pPr>
      <w:r w:rsidRPr="00F67B5F">
        <w:rPr>
          <w:b/>
          <w:bCs/>
        </w:rPr>
        <w:t>Une deuxième période de mise en place</w:t>
      </w:r>
      <w:r>
        <w:t xml:space="preserve"> de la solution innovante (</w:t>
      </w:r>
      <w:r w:rsidRPr="00F67B5F">
        <w:rPr>
          <w:i/>
          <w:iCs/>
        </w:rPr>
        <w:t>construction</w:t>
      </w:r>
      <w:r>
        <w:t>)</w:t>
      </w:r>
      <w:r w:rsidR="00BD0A41">
        <w:t>, dont la durée doit rester raisonnable (environ 2 ou 3 ans)</w:t>
      </w:r>
      <w:r w:rsidR="00487C30">
        <w:t>.</w:t>
      </w:r>
    </w:p>
    <w:p w14:paraId="205160EC" w14:textId="77777777" w:rsidR="0050528A" w:rsidRDefault="0050528A" w:rsidP="0050528A">
      <w:pPr>
        <w:pStyle w:val="Paragraphedeliste"/>
        <w:numPr>
          <w:ilvl w:val="0"/>
          <w:numId w:val="24"/>
        </w:numPr>
        <w:pBdr>
          <w:top w:val="nil"/>
          <w:left w:val="nil"/>
          <w:bottom w:val="nil"/>
          <w:right w:val="nil"/>
          <w:between w:val="nil"/>
        </w:pBdr>
        <w:tabs>
          <w:tab w:val="left" w:pos="1418"/>
        </w:tabs>
        <w:jc w:val="both"/>
      </w:pPr>
      <w:r>
        <w:t>Une partie de la subvention peut alors être versée avant la mise en service en fonction de jalons prédéfinis.</w:t>
      </w:r>
    </w:p>
    <w:p w14:paraId="6D0003CA" w14:textId="77777777" w:rsidR="0050528A" w:rsidRDefault="0050528A" w:rsidP="0050528A">
      <w:pPr>
        <w:numPr>
          <w:ilvl w:val="1"/>
          <w:numId w:val="21"/>
        </w:numPr>
        <w:pBdr>
          <w:top w:val="nil"/>
          <w:left w:val="nil"/>
          <w:bottom w:val="nil"/>
          <w:right w:val="nil"/>
          <w:between w:val="nil"/>
        </w:pBdr>
        <w:tabs>
          <w:tab w:val="left" w:pos="1418"/>
        </w:tabs>
        <w:jc w:val="both"/>
      </w:pPr>
      <w:r>
        <w:t>Puis avec la mise en service du dispositif (</w:t>
      </w:r>
      <w:r w:rsidRPr="00F67B5F">
        <w:rPr>
          <w:i/>
          <w:iCs/>
        </w:rPr>
        <w:t xml:space="preserve">entry </w:t>
      </w:r>
      <w:proofErr w:type="spellStart"/>
      <w:r w:rsidRPr="00F67B5F">
        <w:rPr>
          <w:i/>
          <w:iCs/>
        </w:rPr>
        <w:t>into</w:t>
      </w:r>
      <w:proofErr w:type="spellEnd"/>
      <w:r w:rsidRPr="00F67B5F">
        <w:rPr>
          <w:i/>
          <w:iCs/>
        </w:rPr>
        <w:t xml:space="preserve"> </w:t>
      </w:r>
      <w:proofErr w:type="spellStart"/>
      <w:r w:rsidRPr="00F67B5F">
        <w:rPr>
          <w:i/>
          <w:iCs/>
        </w:rPr>
        <w:t>operation</w:t>
      </w:r>
      <w:proofErr w:type="spellEnd"/>
      <w:r>
        <w:t xml:space="preserve">) débute la </w:t>
      </w:r>
      <w:r w:rsidRPr="00F67B5F">
        <w:rPr>
          <w:b/>
          <w:bCs/>
        </w:rPr>
        <w:t xml:space="preserve">phase de suivi et de </w:t>
      </w:r>
      <w:r w:rsidRPr="00107DA4">
        <w:rPr>
          <w:b/>
          <w:bCs/>
        </w:rPr>
        <w:t xml:space="preserve">reporting qui dure en principe </w:t>
      </w:r>
      <w:r w:rsidR="00487C30" w:rsidRPr="00107DA4">
        <w:rPr>
          <w:b/>
          <w:bCs/>
        </w:rPr>
        <w:t xml:space="preserve">3 </w:t>
      </w:r>
      <w:r w:rsidRPr="00107DA4">
        <w:rPr>
          <w:b/>
          <w:bCs/>
        </w:rPr>
        <w:t>ans</w:t>
      </w:r>
      <w:r>
        <w:t xml:space="preserve">. </w:t>
      </w:r>
      <w:r w:rsidR="00487C30">
        <w:t>Des périodes plus longues peuvent être acceptées sur justification particulière et ne doivent pas durer plus de 10 ans</w:t>
      </w:r>
      <w:r>
        <w:t>.</w:t>
      </w:r>
    </w:p>
    <w:p w14:paraId="349E5638" w14:textId="7F943BC3" w:rsidR="0050528A" w:rsidRDefault="0050528A" w:rsidP="0050528A">
      <w:pPr>
        <w:pStyle w:val="Paragraphedeliste"/>
        <w:numPr>
          <w:ilvl w:val="0"/>
          <w:numId w:val="24"/>
        </w:numPr>
        <w:pBdr>
          <w:top w:val="nil"/>
          <w:left w:val="nil"/>
          <w:bottom w:val="nil"/>
          <w:right w:val="nil"/>
          <w:between w:val="nil"/>
        </w:pBdr>
        <w:tabs>
          <w:tab w:val="left" w:pos="1418"/>
        </w:tabs>
        <w:jc w:val="both"/>
      </w:pPr>
      <w:r>
        <w:t>Sur cette dernière période, les montants forfaitaires sont versés chaque année sur vérification de l’évitement effectif d’émissions de GES. En cas de non-atteinte d’au moins 75% de la cible de réduction des GES, la subvention est réduite.</w:t>
      </w:r>
    </w:p>
    <w:p w14:paraId="395E634F" w14:textId="74C5AD0F" w:rsidR="0050528A" w:rsidRDefault="00AD3FB0" w:rsidP="0050528A">
      <w:pPr>
        <w:pBdr>
          <w:top w:val="nil"/>
          <w:left w:val="nil"/>
          <w:bottom w:val="nil"/>
          <w:right w:val="nil"/>
          <w:between w:val="nil"/>
        </w:pBdr>
        <w:tabs>
          <w:tab w:val="left" w:pos="1307"/>
        </w:tabs>
        <w:jc w:val="both"/>
      </w:pPr>
      <w:r>
        <w:rPr>
          <w:noProof/>
        </w:rPr>
        <w:drawing>
          <wp:anchor distT="0" distB="0" distL="114300" distR="114300" simplePos="0" relativeHeight="251664384" behindDoc="1" locked="0" layoutInCell="1" allowOverlap="1" wp14:anchorId="39405D0F" wp14:editId="5679F9CC">
            <wp:simplePos x="0" y="0"/>
            <wp:positionH relativeFrom="column">
              <wp:posOffset>865126</wp:posOffset>
            </wp:positionH>
            <wp:positionV relativeFrom="paragraph">
              <wp:posOffset>22860</wp:posOffset>
            </wp:positionV>
            <wp:extent cx="4766553" cy="1827965"/>
            <wp:effectExtent l="0" t="0" r="0" b="127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766553" cy="1827965"/>
                    </a:xfrm>
                    <a:prstGeom prst="rect">
                      <a:avLst/>
                    </a:prstGeom>
                  </pic:spPr>
                </pic:pic>
              </a:graphicData>
            </a:graphic>
            <wp14:sizeRelH relativeFrom="margin">
              <wp14:pctWidth>0</wp14:pctWidth>
            </wp14:sizeRelH>
            <wp14:sizeRelV relativeFrom="margin">
              <wp14:pctHeight>0</wp14:pctHeight>
            </wp14:sizeRelV>
          </wp:anchor>
        </w:drawing>
      </w:r>
    </w:p>
    <w:p w14:paraId="751493AE" w14:textId="4ADB6B37" w:rsidR="00AF4420" w:rsidRDefault="00AF4420" w:rsidP="0050528A">
      <w:pPr>
        <w:pBdr>
          <w:top w:val="nil"/>
          <w:left w:val="nil"/>
          <w:bottom w:val="nil"/>
          <w:right w:val="nil"/>
          <w:between w:val="nil"/>
        </w:pBdr>
        <w:tabs>
          <w:tab w:val="left" w:pos="1307"/>
        </w:tabs>
        <w:jc w:val="both"/>
      </w:pPr>
    </w:p>
    <w:p w14:paraId="31726D14" w14:textId="0CBFE8D9" w:rsidR="00AF4420" w:rsidRDefault="00AF4420" w:rsidP="0050528A">
      <w:pPr>
        <w:pBdr>
          <w:top w:val="nil"/>
          <w:left w:val="nil"/>
          <w:bottom w:val="nil"/>
          <w:right w:val="nil"/>
          <w:between w:val="nil"/>
        </w:pBdr>
        <w:tabs>
          <w:tab w:val="left" w:pos="1307"/>
        </w:tabs>
        <w:jc w:val="both"/>
      </w:pPr>
    </w:p>
    <w:p w14:paraId="0DCF5D47" w14:textId="7E8B559D" w:rsidR="007D2677" w:rsidRDefault="007D2677" w:rsidP="0050528A">
      <w:pPr>
        <w:pBdr>
          <w:top w:val="nil"/>
          <w:left w:val="nil"/>
          <w:bottom w:val="nil"/>
          <w:right w:val="nil"/>
          <w:between w:val="nil"/>
        </w:pBdr>
        <w:tabs>
          <w:tab w:val="left" w:pos="1307"/>
        </w:tabs>
        <w:jc w:val="both"/>
      </w:pPr>
    </w:p>
    <w:p w14:paraId="673A2B6E" w14:textId="77777777" w:rsidR="007D2677" w:rsidRDefault="007D2677" w:rsidP="0050528A">
      <w:pPr>
        <w:pBdr>
          <w:top w:val="nil"/>
          <w:left w:val="nil"/>
          <w:bottom w:val="nil"/>
          <w:right w:val="nil"/>
          <w:between w:val="nil"/>
        </w:pBdr>
        <w:tabs>
          <w:tab w:val="left" w:pos="1307"/>
        </w:tabs>
        <w:jc w:val="both"/>
      </w:pPr>
    </w:p>
    <w:p w14:paraId="3DA11578" w14:textId="77777777" w:rsidR="007D2677" w:rsidRDefault="007D2677" w:rsidP="0050528A">
      <w:pPr>
        <w:pBdr>
          <w:top w:val="nil"/>
          <w:left w:val="nil"/>
          <w:bottom w:val="nil"/>
          <w:right w:val="nil"/>
          <w:between w:val="nil"/>
        </w:pBdr>
        <w:tabs>
          <w:tab w:val="left" w:pos="1307"/>
        </w:tabs>
        <w:jc w:val="both"/>
      </w:pPr>
    </w:p>
    <w:p w14:paraId="67C175C2" w14:textId="77777777" w:rsidR="00AF4420" w:rsidRDefault="00AF4420" w:rsidP="0050528A">
      <w:pPr>
        <w:pBdr>
          <w:top w:val="nil"/>
          <w:left w:val="nil"/>
          <w:bottom w:val="nil"/>
          <w:right w:val="nil"/>
          <w:between w:val="nil"/>
        </w:pBdr>
        <w:tabs>
          <w:tab w:val="left" w:pos="1307"/>
        </w:tabs>
        <w:jc w:val="both"/>
      </w:pPr>
    </w:p>
    <w:p w14:paraId="03CF732A" w14:textId="77777777" w:rsidR="00AF4420" w:rsidRDefault="00AF4420" w:rsidP="0050528A">
      <w:pPr>
        <w:pBdr>
          <w:top w:val="nil"/>
          <w:left w:val="nil"/>
          <w:bottom w:val="nil"/>
          <w:right w:val="nil"/>
          <w:between w:val="nil"/>
        </w:pBdr>
        <w:tabs>
          <w:tab w:val="left" w:pos="1307"/>
        </w:tabs>
        <w:jc w:val="both"/>
      </w:pPr>
    </w:p>
    <w:p w14:paraId="4881C403" w14:textId="77777777" w:rsidR="00AF4420" w:rsidRDefault="00AF4420" w:rsidP="0050528A">
      <w:pPr>
        <w:pBdr>
          <w:top w:val="nil"/>
          <w:left w:val="nil"/>
          <w:bottom w:val="nil"/>
          <w:right w:val="nil"/>
          <w:between w:val="nil"/>
        </w:pBdr>
        <w:tabs>
          <w:tab w:val="left" w:pos="1307"/>
        </w:tabs>
        <w:jc w:val="both"/>
      </w:pPr>
    </w:p>
    <w:p w14:paraId="354971F2" w14:textId="77777777" w:rsidR="00AF4420" w:rsidRDefault="00AF4420" w:rsidP="0050528A">
      <w:pPr>
        <w:pBdr>
          <w:top w:val="nil"/>
          <w:left w:val="nil"/>
          <w:bottom w:val="nil"/>
          <w:right w:val="nil"/>
          <w:between w:val="nil"/>
        </w:pBdr>
        <w:tabs>
          <w:tab w:val="left" w:pos="1307"/>
        </w:tabs>
        <w:jc w:val="both"/>
      </w:pPr>
    </w:p>
    <w:p w14:paraId="5DA515FF" w14:textId="77777777" w:rsidR="00AF4420" w:rsidRDefault="00AF4420" w:rsidP="0050528A">
      <w:pPr>
        <w:pBdr>
          <w:top w:val="nil"/>
          <w:left w:val="nil"/>
          <w:bottom w:val="nil"/>
          <w:right w:val="nil"/>
          <w:between w:val="nil"/>
        </w:pBdr>
        <w:tabs>
          <w:tab w:val="left" w:pos="1307"/>
        </w:tabs>
        <w:jc w:val="both"/>
      </w:pPr>
    </w:p>
    <w:p w14:paraId="2149C39C" w14:textId="7D41DE31" w:rsidR="00AF4420" w:rsidRDefault="00AD3FB0" w:rsidP="000C638C">
      <w:pPr>
        <w:pBdr>
          <w:top w:val="nil"/>
          <w:left w:val="nil"/>
          <w:bottom w:val="nil"/>
          <w:right w:val="nil"/>
          <w:between w:val="nil"/>
        </w:pBdr>
        <w:tabs>
          <w:tab w:val="left" w:pos="1307"/>
        </w:tabs>
        <w:ind w:left="720"/>
      </w:pPr>
      <w:r w:rsidRPr="00841C5E">
        <w:rPr>
          <w:i/>
          <w:sz w:val="18"/>
          <w:szCs w:val="18"/>
        </w:rPr>
        <w:t xml:space="preserve">Source : site </w:t>
      </w:r>
      <w:r>
        <w:rPr>
          <w:i/>
          <w:sz w:val="18"/>
          <w:szCs w:val="18"/>
        </w:rPr>
        <w:t>w</w:t>
      </w:r>
      <w:r w:rsidRPr="00841C5E">
        <w:rPr>
          <w:i/>
          <w:sz w:val="18"/>
          <w:szCs w:val="18"/>
        </w:rPr>
        <w:t>eb de la Commission européenne</w:t>
      </w:r>
      <w:r>
        <w:rPr>
          <w:i/>
          <w:sz w:val="18"/>
          <w:szCs w:val="18"/>
        </w:rPr>
        <w:t xml:space="preserve"> : </w:t>
      </w:r>
      <w:hyperlink r:id="rId21" w:history="1">
        <w:r w:rsidRPr="003E1AD1">
          <w:rPr>
            <w:rStyle w:val="Lienhypertexte"/>
            <w:i/>
            <w:sz w:val="18"/>
            <w:szCs w:val="18"/>
          </w:rPr>
          <w:t>https://ec.europa.eu/clima/policies/innovation-fund_en</w:t>
        </w:r>
      </w:hyperlink>
    </w:p>
    <w:p w14:paraId="2CF6D40E" w14:textId="77777777" w:rsidR="0050528A" w:rsidRPr="00515BA4" w:rsidRDefault="0050528A" w:rsidP="0050528A">
      <w:pPr>
        <w:pStyle w:val="Paragraphedeliste"/>
        <w:numPr>
          <w:ilvl w:val="0"/>
          <w:numId w:val="27"/>
        </w:numPr>
        <w:pBdr>
          <w:top w:val="nil"/>
          <w:left w:val="nil"/>
          <w:bottom w:val="nil"/>
          <w:right w:val="nil"/>
          <w:between w:val="nil"/>
        </w:pBdr>
        <w:tabs>
          <w:tab w:val="left" w:pos="1307"/>
        </w:tabs>
        <w:jc w:val="both"/>
      </w:pPr>
      <w:r>
        <w:rPr>
          <w:b/>
          <w:bCs/>
          <w:color w:val="000000"/>
        </w:rPr>
        <w:t>Processus de sélection :</w:t>
      </w:r>
    </w:p>
    <w:p w14:paraId="1431E0C0" w14:textId="77777777" w:rsidR="0050528A" w:rsidRDefault="0050528A" w:rsidP="0050528A">
      <w:pPr>
        <w:numPr>
          <w:ilvl w:val="1"/>
          <w:numId w:val="1"/>
        </w:numPr>
        <w:tabs>
          <w:tab w:val="left" w:pos="1307"/>
        </w:tabs>
        <w:jc w:val="both"/>
      </w:pPr>
      <w:r>
        <w:t xml:space="preserve">Un appel à projets annuel en </w:t>
      </w:r>
      <w:r w:rsidR="00552DB9">
        <w:t>une étape</w:t>
      </w:r>
      <w:r>
        <w:t xml:space="preserve"> (sous condition des ressources rendues disponibles par le système d’échange de quotas européen). Il s’écoule environ 1 an entre la publication de l’appel et la signature du contrat de subvention.</w:t>
      </w:r>
    </w:p>
    <w:p w14:paraId="5887DA0C" w14:textId="77777777" w:rsidR="0050528A" w:rsidRDefault="00552DB9" w:rsidP="00552DB9">
      <w:pPr>
        <w:numPr>
          <w:ilvl w:val="1"/>
          <w:numId w:val="1"/>
        </w:numPr>
        <w:tabs>
          <w:tab w:val="left" w:pos="1307"/>
        </w:tabs>
        <w:jc w:val="both"/>
      </w:pPr>
      <w:r>
        <w:t>Les informations disponibles à ce jour ne permettent pas d’estimer le taux de sélection de cet appel à projets. A titre indicatif, 232 candidatures ont été soumises lors de l’appel de l’année 2020.</w:t>
      </w:r>
    </w:p>
    <w:p w14:paraId="6EC4F651" w14:textId="77777777" w:rsidR="0050528A" w:rsidRDefault="0050528A" w:rsidP="0050528A">
      <w:pPr>
        <w:numPr>
          <w:ilvl w:val="1"/>
          <w:numId w:val="1"/>
        </w:numPr>
        <w:tabs>
          <w:tab w:val="left" w:pos="1307"/>
        </w:tabs>
        <w:jc w:val="both"/>
      </w:pPr>
      <w:r>
        <w:t>Critères d’évaluation des projets :</w:t>
      </w:r>
    </w:p>
    <w:p w14:paraId="152A7A37" w14:textId="77777777" w:rsidR="00552DB9" w:rsidRDefault="00552DB9" w:rsidP="00552DB9">
      <w:pPr>
        <w:numPr>
          <w:ilvl w:val="2"/>
          <w:numId w:val="1"/>
        </w:numPr>
        <w:tabs>
          <w:tab w:val="left" w:pos="1307"/>
        </w:tabs>
        <w:jc w:val="both"/>
      </w:pPr>
      <w:r>
        <w:t>Degré d’innovation</w:t>
      </w:r>
      <w:r w:rsidR="002533FA">
        <w:t xml:space="preserve"> en comparaison avec l’état de l’art</w:t>
      </w:r>
    </w:p>
    <w:p w14:paraId="199F3BF7" w14:textId="77777777" w:rsidR="002533FA" w:rsidRDefault="00552DB9" w:rsidP="00552DB9">
      <w:pPr>
        <w:numPr>
          <w:ilvl w:val="2"/>
          <w:numId w:val="1"/>
        </w:numPr>
        <w:tabs>
          <w:tab w:val="left" w:pos="1307"/>
        </w:tabs>
        <w:jc w:val="both"/>
      </w:pPr>
      <w:r>
        <w:lastRenderedPageBreak/>
        <w:t>Maturité du projet</w:t>
      </w:r>
      <w:r w:rsidR="002533FA">
        <w:t xml:space="preserve"> du point de vue de la mise en œuvre (faisabilité) et du point de vue financier (sur la base d’un </w:t>
      </w:r>
      <w:r w:rsidR="002533FA">
        <w:rPr>
          <w:i/>
          <w:iCs/>
        </w:rPr>
        <w:t>business plan</w:t>
      </w:r>
      <w:r w:rsidR="002533FA">
        <w:t xml:space="preserve"> et autres </w:t>
      </w:r>
      <w:r w:rsidR="00FF307A">
        <w:t>informations soumises dans la candidature</w:t>
      </w:r>
      <w:r w:rsidR="002533FA">
        <w:t>)</w:t>
      </w:r>
    </w:p>
    <w:p w14:paraId="0CCC3E1D" w14:textId="77777777" w:rsidR="00552DB9" w:rsidRDefault="00552DB9" w:rsidP="00552DB9">
      <w:pPr>
        <w:numPr>
          <w:ilvl w:val="2"/>
          <w:numId w:val="1"/>
        </w:numPr>
        <w:tabs>
          <w:tab w:val="left" w:pos="1307"/>
        </w:tabs>
        <w:jc w:val="both"/>
      </w:pPr>
      <w:r>
        <w:t>Potentiel d’évitement d’émissions de GES</w:t>
      </w:r>
      <w:r w:rsidR="002533FA">
        <w:t xml:space="preserve">, selon deux modes de calcul détaillés dans une </w:t>
      </w:r>
      <w:hyperlink r:id="rId22" w:history="1">
        <w:r w:rsidR="002533FA" w:rsidRPr="002533FA">
          <w:rPr>
            <w:rStyle w:val="Lienhypertexte"/>
          </w:rPr>
          <w:t>annexe spécifique</w:t>
        </w:r>
      </w:hyperlink>
      <w:r w:rsidR="002533FA">
        <w:t>.</w:t>
      </w:r>
    </w:p>
    <w:p w14:paraId="127787AD" w14:textId="77777777" w:rsidR="002533FA" w:rsidRDefault="002533FA" w:rsidP="00552DB9">
      <w:pPr>
        <w:numPr>
          <w:ilvl w:val="2"/>
          <w:numId w:val="1"/>
        </w:numPr>
        <w:tabs>
          <w:tab w:val="left" w:pos="1307"/>
        </w:tabs>
        <w:jc w:val="both"/>
      </w:pPr>
      <w:r>
        <w:t>Potentiel de passage à une plus grande échelle (</w:t>
      </w:r>
      <w:proofErr w:type="spellStart"/>
      <w:r>
        <w:rPr>
          <w:i/>
          <w:iCs/>
        </w:rPr>
        <w:t>scalability</w:t>
      </w:r>
      <w:proofErr w:type="spellEnd"/>
      <w:r>
        <w:t>) : au niveau du projet et de l’économie régionale, au niveau du secteur économique et au niveau d’autres secteurs économiques et chaînes de valeur.</w:t>
      </w:r>
    </w:p>
    <w:p w14:paraId="0E9CA09D" w14:textId="77777777" w:rsidR="00552DB9" w:rsidRDefault="002533FA" w:rsidP="00552DB9">
      <w:pPr>
        <w:numPr>
          <w:ilvl w:val="2"/>
          <w:numId w:val="1"/>
        </w:numPr>
        <w:tabs>
          <w:tab w:val="left" w:pos="1307"/>
        </w:tabs>
        <w:jc w:val="both"/>
      </w:pPr>
      <w:r>
        <w:t>R</w:t>
      </w:r>
      <w:r w:rsidR="00552DB9">
        <w:t>apport coût-efficacité</w:t>
      </w:r>
      <w:r>
        <w:t xml:space="preserve"> c’est-à-dire le rapport entre les coûts du projet et les émissions de GES évitées</w:t>
      </w:r>
      <w:r w:rsidR="00FF307A">
        <w:t>.</w:t>
      </w:r>
    </w:p>
    <w:p w14:paraId="29CA5352" w14:textId="77777777" w:rsidR="0050528A" w:rsidRDefault="0050528A" w:rsidP="0050528A">
      <w:pPr>
        <w:numPr>
          <w:ilvl w:val="1"/>
          <w:numId w:val="1"/>
        </w:numPr>
        <w:tabs>
          <w:tab w:val="left" w:pos="1307"/>
        </w:tabs>
        <w:jc w:val="both"/>
      </w:pPr>
      <w:r>
        <w:t>La rédaction</w:t>
      </w:r>
      <w:r w:rsidR="00284697">
        <w:t xml:space="preserve"> du dossier de candidature</w:t>
      </w:r>
      <w:r>
        <w:t xml:space="preserve"> en anglais est fortement encouragée.</w:t>
      </w:r>
    </w:p>
    <w:p w14:paraId="51EB31AD" w14:textId="77777777" w:rsidR="0050528A" w:rsidRPr="00CC6D0D" w:rsidRDefault="00CC6D0D" w:rsidP="0050528A">
      <w:pPr>
        <w:numPr>
          <w:ilvl w:val="1"/>
          <w:numId w:val="1"/>
        </w:numPr>
        <w:tabs>
          <w:tab w:val="left" w:pos="1307"/>
        </w:tabs>
        <w:jc w:val="both"/>
      </w:pPr>
      <w:r w:rsidRPr="00CC6D0D">
        <w:rPr>
          <w:color w:val="000000"/>
        </w:rPr>
        <w:t>A titre indicatif, le dossier de candidature (description technique – hors annexe</w:t>
      </w:r>
      <w:r>
        <w:rPr>
          <w:color w:val="000000"/>
        </w:rPr>
        <w:t>s</w:t>
      </w:r>
      <w:r w:rsidRPr="00CC6D0D">
        <w:rPr>
          <w:color w:val="000000"/>
        </w:rPr>
        <w:t xml:space="preserve">) </w:t>
      </w:r>
      <w:r>
        <w:rPr>
          <w:color w:val="000000"/>
        </w:rPr>
        <w:t xml:space="preserve">pour l’appel 2020 </w:t>
      </w:r>
      <w:r w:rsidRPr="00CC6D0D">
        <w:rPr>
          <w:color w:val="000000"/>
        </w:rPr>
        <w:t>ne d</w:t>
      </w:r>
      <w:r w:rsidR="003929EF">
        <w:rPr>
          <w:color w:val="000000"/>
        </w:rPr>
        <w:t>evait</w:t>
      </w:r>
      <w:r w:rsidRPr="00CC6D0D">
        <w:rPr>
          <w:color w:val="000000"/>
        </w:rPr>
        <w:t xml:space="preserve"> pas dépasser 70 pages.</w:t>
      </w:r>
    </w:p>
    <w:p w14:paraId="46DD9F3A" w14:textId="77777777" w:rsidR="00C336A2" w:rsidRDefault="00C336A2" w:rsidP="00C336A2">
      <w:pPr>
        <w:pStyle w:val="Titre1"/>
        <w:ind w:firstLine="360"/>
      </w:pPr>
      <w:r w:rsidRPr="00985F3B">
        <w:rPr>
          <w:i/>
          <w:iCs/>
        </w:rPr>
        <w:t xml:space="preserve">Project </w:t>
      </w:r>
      <w:proofErr w:type="spellStart"/>
      <w:r w:rsidRPr="00985F3B">
        <w:rPr>
          <w:i/>
          <w:iCs/>
        </w:rPr>
        <w:t>Development</w:t>
      </w:r>
      <w:proofErr w:type="spellEnd"/>
      <w:r w:rsidRPr="00985F3B">
        <w:rPr>
          <w:i/>
          <w:iCs/>
        </w:rPr>
        <w:t xml:space="preserve"> Assistance</w:t>
      </w:r>
      <w:r w:rsidR="00985F3B">
        <w:t xml:space="preserve"> (PDA)</w:t>
      </w:r>
    </w:p>
    <w:p w14:paraId="3F3244B2" w14:textId="77777777" w:rsidR="00C336A2" w:rsidRDefault="00C336A2" w:rsidP="00C336A2">
      <w:pPr>
        <w:pBdr>
          <w:top w:val="nil"/>
          <w:left w:val="nil"/>
          <w:bottom w:val="nil"/>
          <w:right w:val="nil"/>
          <w:between w:val="nil"/>
        </w:pBdr>
        <w:tabs>
          <w:tab w:val="left" w:pos="1307"/>
        </w:tabs>
        <w:ind w:left="360"/>
        <w:jc w:val="both"/>
      </w:pPr>
    </w:p>
    <w:p w14:paraId="0682253A" w14:textId="77777777" w:rsidR="00AE0853" w:rsidRDefault="003A6351" w:rsidP="003A6351">
      <w:pPr>
        <w:pBdr>
          <w:top w:val="nil"/>
          <w:left w:val="nil"/>
          <w:bottom w:val="nil"/>
          <w:right w:val="nil"/>
          <w:between w:val="nil"/>
        </w:pBdr>
        <w:tabs>
          <w:tab w:val="left" w:pos="1307"/>
        </w:tabs>
        <w:jc w:val="both"/>
      </w:pPr>
      <w:r>
        <w:t xml:space="preserve">Le Fonds pour l’innovation a pour particularité </w:t>
      </w:r>
      <w:r w:rsidRPr="00812DE0">
        <w:rPr>
          <w:b/>
          <w:bCs/>
        </w:rPr>
        <w:t xml:space="preserve">de proposer </w:t>
      </w:r>
      <w:r w:rsidR="00985F3B" w:rsidRPr="00812DE0">
        <w:rPr>
          <w:b/>
          <w:bCs/>
        </w:rPr>
        <w:t>aux porteurs</w:t>
      </w:r>
      <w:r w:rsidRPr="00812DE0">
        <w:rPr>
          <w:b/>
          <w:bCs/>
        </w:rPr>
        <w:t xml:space="preserve"> qui n’ont pas été retenus mais qui présentent un potentiel d’amélioration un service d’appui au développement de leur projet</w:t>
      </w:r>
      <w:r>
        <w:t>, dispensé par la Banque européenne d’investissement (BEI). Cet appui est proposé aux propositions qui :</w:t>
      </w:r>
    </w:p>
    <w:p w14:paraId="49DADD43" w14:textId="77777777" w:rsidR="003A6351" w:rsidRDefault="003A6351" w:rsidP="003A6351">
      <w:pPr>
        <w:pStyle w:val="Paragraphedeliste"/>
        <w:numPr>
          <w:ilvl w:val="0"/>
          <w:numId w:val="27"/>
        </w:numPr>
        <w:pBdr>
          <w:top w:val="nil"/>
          <w:left w:val="nil"/>
          <w:bottom w:val="nil"/>
          <w:right w:val="nil"/>
          <w:between w:val="nil"/>
        </w:pBdr>
        <w:tabs>
          <w:tab w:val="left" w:pos="1307"/>
        </w:tabs>
        <w:jc w:val="both"/>
      </w:pPr>
      <w:r>
        <w:t>Ont obtenu le score minimum sur les critères de potentiel d’évitement d’émissions de GES et de degré d’innovation ;</w:t>
      </w:r>
    </w:p>
    <w:p w14:paraId="6C674035" w14:textId="77777777" w:rsidR="003A6351" w:rsidRDefault="003A6351" w:rsidP="003A6351">
      <w:pPr>
        <w:pStyle w:val="Paragraphedeliste"/>
        <w:numPr>
          <w:ilvl w:val="0"/>
          <w:numId w:val="27"/>
        </w:numPr>
        <w:pBdr>
          <w:top w:val="nil"/>
          <w:left w:val="nil"/>
          <w:bottom w:val="nil"/>
          <w:right w:val="nil"/>
          <w:between w:val="nil"/>
        </w:pBdr>
        <w:tabs>
          <w:tab w:val="left" w:pos="1307"/>
        </w:tabs>
        <w:jc w:val="both"/>
      </w:pPr>
      <w:r>
        <w:t>Ont eu au moins 50% des points du critère de la maturité du projet ;</w:t>
      </w:r>
    </w:p>
    <w:p w14:paraId="50172E89" w14:textId="77777777" w:rsidR="003A3662" w:rsidRDefault="003A6351" w:rsidP="003A3662">
      <w:pPr>
        <w:pStyle w:val="Paragraphedeliste"/>
        <w:numPr>
          <w:ilvl w:val="0"/>
          <w:numId w:val="27"/>
        </w:numPr>
        <w:pBdr>
          <w:top w:val="nil"/>
          <w:left w:val="nil"/>
          <w:bottom w:val="nil"/>
          <w:right w:val="nil"/>
          <w:between w:val="nil"/>
        </w:pBdr>
        <w:tabs>
          <w:tab w:val="left" w:pos="1307"/>
        </w:tabs>
        <w:jc w:val="both"/>
      </w:pPr>
      <w:r>
        <w:t>Sont considéré</w:t>
      </w:r>
      <w:r w:rsidR="00985F3B">
        <w:t>e</w:t>
      </w:r>
      <w:r>
        <w:t>s comme doté</w:t>
      </w:r>
      <w:r w:rsidR="00985F3B">
        <w:t>e</w:t>
      </w:r>
      <w:r>
        <w:t>s d’un bon potentiel d’amélioration de leur maturité grâce à une assistance au développement de leur projet.</w:t>
      </w:r>
    </w:p>
    <w:p w14:paraId="24610C39" w14:textId="77777777" w:rsidR="003A6351" w:rsidRPr="00AE0853" w:rsidRDefault="003A3662" w:rsidP="003A6351">
      <w:pPr>
        <w:pBdr>
          <w:top w:val="nil"/>
          <w:left w:val="nil"/>
          <w:bottom w:val="nil"/>
          <w:right w:val="nil"/>
          <w:between w:val="nil"/>
        </w:pBdr>
        <w:tabs>
          <w:tab w:val="left" w:pos="1307"/>
        </w:tabs>
        <w:jc w:val="both"/>
      </w:pPr>
      <w:r>
        <w:t>Le contenu de l’accompagnement dépend des besoins de chaque projet</w:t>
      </w:r>
      <w:r w:rsidR="00985F3B">
        <w:t xml:space="preserve"> et peut notamment comporter : l’évaluation de la faisabilité technique et financière du projet, conseils sur la structure légale et financière du projet, montée en compétences, études de marché, etc.</w:t>
      </w:r>
    </w:p>
    <w:p w14:paraId="3A1EA100" w14:textId="77777777" w:rsidR="00CC781C" w:rsidRDefault="00E95D30">
      <w:pPr>
        <w:pStyle w:val="Titre1"/>
        <w:ind w:firstLine="360"/>
      </w:pPr>
      <w:r>
        <w:t>Autres d</w:t>
      </w:r>
      <w:r w:rsidR="008F7158">
        <w:t>ispositions administratives et financières</w:t>
      </w:r>
    </w:p>
    <w:p w14:paraId="441362FA" w14:textId="77777777" w:rsidR="00CC781C" w:rsidRDefault="00CC781C">
      <w:pPr>
        <w:pBdr>
          <w:top w:val="nil"/>
          <w:left w:val="nil"/>
          <w:bottom w:val="nil"/>
          <w:right w:val="nil"/>
          <w:between w:val="nil"/>
        </w:pBdr>
        <w:tabs>
          <w:tab w:val="left" w:pos="1307"/>
        </w:tabs>
        <w:ind w:left="360"/>
        <w:jc w:val="both"/>
        <w:rPr>
          <w:color w:val="000000"/>
        </w:rPr>
      </w:pPr>
    </w:p>
    <w:p w14:paraId="36C8F2D4" w14:textId="77777777" w:rsidR="0028213D" w:rsidRDefault="0028213D" w:rsidP="0028213D">
      <w:pPr>
        <w:numPr>
          <w:ilvl w:val="0"/>
          <w:numId w:val="31"/>
        </w:numPr>
        <w:pBdr>
          <w:top w:val="nil"/>
          <w:left w:val="nil"/>
          <w:bottom w:val="nil"/>
          <w:right w:val="nil"/>
          <w:between w:val="nil"/>
        </w:pBdr>
        <w:tabs>
          <w:tab w:val="left" w:pos="1307"/>
        </w:tabs>
        <w:jc w:val="both"/>
      </w:pPr>
      <w:r>
        <w:t xml:space="preserve">Les </w:t>
      </w:r>
      <w:r w:rsidRPr="00730E16">
        <w:rPr>
          <w:b/>
          <w:bCs/>
        </w:rPr>
        <w:t>capacités financières des candidats</w:t>
      </w:r>
      <w:r>
        <w:t xml:space="preserve"> sont vérifiées lors de l’invitation à signer le contrat de subvention via la transmission des comptes annuels des deux dernières années ou de </w:t>
      </w:r>
      <w:r>
        <w:rPr>
          <w:i/>
          <w:iCs/>
        </w:rPr>
        <w:t>business plan</w:t>
      </w:r>
      <w:r>
        <w:t xml:space="preserve"> pour les organisations venant d’être établies (les deux derniers rapports d’audit </w:t>
      </w:r>
      <w:r w:rsidR="00812DE0">
        <w:t xml:space="preserve">ou une auto-déclaration pour les entités nouvellement établies </w:t>
      </w:r>
      <w:r>
        <w:t>sont également demandés aux projets de grande échelle).</w:t>
      </w:r>
    </w:p>
    <w:p w14:paraId="561878F8" w14:textId="77777777" w:rsidR="00812DE0" w:rsidRDefault="00AD2BBB" w:rsidP="0028213D">
      <w:pPr>
        <w:numPr>
          <w:ilvl w:val="0"/>
          <w:numId w:val="31"/>
        </w:numPr>
        <w:pBdr>
          <w:top w:val="nil"/>
          <w:left w:val="nil"/>
          <w:bottom w:val="nil"/>
          <w:right w:val="nil"/>
          <w:between w:val="nil"/>
        </w:pBdr>
        <w:tabs>
          <w:tab w:val="left" w:pos="1307"/>
        </w:tabs>
        <w:jc w:val="both"/>
      </w:pPr>
      <w:r>
        <w:t xml:space="preserve">Comme sur l’ensemble des programmes de financement européen, </w:t>
      </w:r>
      <w:r w:rsidRPr="00730E16">
        <w:rPr>
          <w:b/>
          <w:bCs/>
        </w:rPr>
        <w:t xml:space="preserve">les achats réalisés dans le cadre du projet doivent tenir compte de principes </w:t>
      </w:r>
      <w:r>
        <w:t xml:space="preserve">de sélection de l’offre présentant le meilleur rapport qualité-prix </w:t>
      </w:r>
      <w:r w:rsidR="00D17599">
        <w:t>(offre la mieux-</w:t>
      </w:r>
      <w:proofErr w:type="spellStart"/>
      <w:r w:rsidR="00D17599">
        <w:t>disante</w:t>
      </w:r>
      <w:proofErr w:type="spellEnd"/>
      <w:r w:rsidR="00D17599">
        <w:t xml:space="preserve">) </w:t>
      </w:r>
      <w:r>
        <w:t>et d’absence de conflit d’intérêt.</w:t>
      </w:r>
    </w:p>
    <w:p w14:paraId="03E5A6A7" w14:textId="77777777" w:rsidR="00AD2BBB" w:rsidRDefault="00AD2BBB" w:rsidP="0028213D">
      <w:pPr>
        <w:numPr>
          <w:ilvl w:val="0"/>
          <w:numId w:val="31"/>
        </w:numPr>
        <w:pBdr>
          <w:top w:val="nil"/>
          <w:left w:val="nil"/>
          <w:bottom w:val="nil"/>
          <w:right w:val="nil"/>
          <w:between w:val="nil"/>
        </w:pBdr>
        <w:tabs>
          <w:tab w:val="left" w:pos="1307"/>
        </w:tabs>
        <w:jc w:val="both"/>
      </w:pPr>
      <w:r>
        <w:t xml:space="preserve">Comme sur l’ensemble des programmes de financement européen, tout projet financé par le Fonds pour l’innovation </w:t>
      </w:r>
      <w:r w:rsidRPr="00730E16">
        <w:rPr>
          <w:b/>
          <w:bCs/>
        </w:rPr>
        <w:t>peut faire l’objet de contrôles et d’audit</w:t>
      </w:r>
      <w:r w:rsidR="00730E16">
        <w:rPr>
          <w:b/>
          <w:bCs/>
        </w:rPr>
        <w:t>s</w:t>
      </w:r>
      <w:r>
        <w:t xml:space="preserve"> pendant la mise en œuvre du projet et quelques années après.</w:t>
      </w:r>
    </w:p>
    <w:p w14:paraId="1C36FF01" w14:textId="66D1F16A" w:rsidR="00AD2BBB" w:rsidRDefault="00AD2BBB" w:rsidP="0028213D">
      <w:pPr>
        <w:numPr>
          <w:ilvl w:val="0"/>
          <w:numId w:val="31"/>
        </w:numPr>
        <w:pBdr>
          <w:top w:val="nil"/>
          <w:left w:val="nil"/>
          <w:bottom w:val="nil"/>
          <w:right w:val="nil"/>
          <w:between w:val="nil"/>
        </w:pBdr>
        <w:tabs>
          <w:tab w:val="left" w:pos="1307"/>
        </w:tabs>
        <w:jc w:val="both"/>
      </w:pPr>
      <w:r>
        <w:t>La durée exacte de conservation de la documentation du projet et pendant laquelle le projet est susceptible d’être auditée est définie dans des conditions spécifiques du contrat de subvention) mais est en général entre 3 et 5 ans</w:t>
      </w:r>
      <w:r w:rsidR="004E5A32">
        <w:t xml:space="preserve"> après la clôture du projet</w:t>
      </w:r>
      <w:r>
        <w:t>.</w:t>
      </w:r>
    </w:p>
    <w:p w14:paraId="04E194E5" w14:textId="77777777" w:rsidR="00611107" w:rsidRDefault="00611107" w:rsidP="0028213D">
      <w:pPr>
        <w:numPr>
          <w:ilvl w:val="0"/>
          <w:numId w:val="31"/>
        </w:numPr>
        <w:pBdr>
          <w:top w:val="nil"/>
          <w:left w:val="nil"/>
          <w:bottom w:val="nil"/>
          <w:right w:val="nil"/>
          <w:between w:val="nil"/>
        </w:pBdr>
        <w:tabs>
          <w:tab w:val="left" w:pos="1307"/>
        </w:tabs>
        <w:jc w:val="both"/>
      </w:pPr>
      <w:r w:rsidRPr="0076064D">
        <w:rPr>
          <w:b/>
          <w:bCs/>
        </w:rPr>
        <w:t>En cas de modifications du projet après la soumission de la candidature</w:t>
      </w:r>
      <w:r>
        <w:t xml:space="preserve"> (structure du partenariat, conditions liées au marché, etc.), celles-ci doivent être notifiées à l’agence CINEA qui en prendra acte concernant la signature du contrat de subvention (maintien de la subvention, </w:t>
      </w:r>
      <w:r w:rsidR="00B609E3">
        <w:t>ajustement de son montant</w:t>
      </w:r>
      <w:r>
        <w:t xml:space="preserve"> ou annulation). La subvention ne pourra alors être octroyée que si ces changements ne remettent pas en question les résultats de l’évaluation du projet.</w:t>
      </w:r>
    </w:p>
    <w:p w14:paraId="5D19CC43" w14:textId="77777777" w:rsidR="00CC781C" w:rsidRDefault="00B609E3" w:rsidP="0028213D">
      <w:pPr>
        <w:numPr>
          <w:ilvl w:val="0"/>
          <w:numId w:val="31"/>
        </w:numPr>
        <w:pBdr>
          <w:top w:val="nil"/>
          <w:left w:val="nil"/>
          <w:bottom w:val="nil"/>
          <w:right w:val="nil"/>
          <w:between w:val="nil"/>
        </w:pBdr>
        <w:tabs>
          <w:tab w:val="left" w:pos="1307"/>
        </w:tabs>
        <w:jc w:val="both"/>
      </w:pPr>
      <w:r>
        <w:t xml:space="preserve">Le </w:t>
      </w:r>
      <w:r w:rsidRPr="0076064D">
        <w:rPr>
          <w:b/>
          <w:bCs/>
        </w:rPr>
        <w:t>modèle de contrat de subvention</w:t>
      </w:r>
      <w:r>
        <w:t xml:space="preserve"> peut être consulté </w:t>
      </w:r>
      <w:hyperlink r:id="rId23" w:history="1">
        <w:r w:rsidRPr="00B609E3">
          <w:rPr>
            <w:rStyle w:val="Lienhypertexte"/>
          </w:rPr>
          <w:t>ici</w:t>
        </w:r>
      </w:hyperlink>
      <w:r>
        <w:t xml:space="preserve"> (« </w:t>
      </w:r>
      <w:r>
        <w:rPr>
          <w:i/>
          <w:iCs/>
        </w:rPr>
        <w:t xml:space="preserve">Grant </w:t>
      </w:r>
      <w:proofErr w:type="spellStart"/>
      <w:r>
        <w:rPr>
          <w:i/>
          <w:iCs/>
        </w:rPr>
        <w:t>agreements</w:t>
      </w:r>
      <w:proofErr w:type="spellEnd"/>
      <w:r>
        <w:rPr>
          <w:i/>
          <w:iCs/>
        </w:rPr>
        <w:t xml:space="preserve"> and </w:t>
      </w:r>
      <w:proofErr w:type="spellStart"/>
      <w:r>
        <w:rPr>
          <w:i/>
          <w:iCs/>
        </w:rPr>
        <w:t>contracts</w:t>
      </w:r>
      <w:proofErr w:type="spellEnd"/>
      <w:r>
        <w:t> »).</w:t>
      </w:r>
    </w:p>
    <w:p w14:paraId="41BE1396" w14:textId="77777777" w:rsidR="004E2FEF" w:rsidRDefault="004C253C" w:rsidP="0028213D">
      <w:pPr>
        <w:numPr>
          <w:ilvl w:val="0"/>
          <w:numId w:val="31"/>
        </w:numPr>
        <w:pBdr>
          <w:top w:val="nil"/>
          <w:left w:val="nil"/>
          <w:bottom w:val="nil"/>
          <w:right w:val="nil"/>
          <w:between w:val="nil"/>
        </w:pBdr>
        <w:tabs>
          <w:tab w:val="left" w:pos="1307"/>
        </w:tabs>
        <w:jc w:val="both"/>
      </w:pPr>
      <w:r>
        <w:rPr>
          <w:color w:val="000000"/>
        </w:rPr>
        <w:lastRenderedPageBreak/>
        <w:t xml:space="preserve">Les subventions octroyées par le Fonds pour l’innovation </w:t>
      </w:r>
      <w:r w:rsidRPr="0076064D">
        <w:rPr>
          <w:b/>
          <w:bCs/>
          <w:color w:val="000000"/>
        </w:rPr>
        <w:t>ne sont pas considérées comme des aides d’</w:t>
      </w:r>
      <w:proofErr w:type="spellStart"/>
      <w:r w:rsidRPr="0076064D">
        <w:rPr>
          <w:b/>
          <w:bCs/>
          <w:color w:val="000000"/>
        </w:rPr>
        <w:t>Etat</w:t>
      </w:r>
      <w:proofErr w:type="spellEnd"/>
      <w:r>
        <w:rPr>
          <w:color w:val="000000"/>
        </w:rPr>
        <w:t xml:space="preserve">. Il est possible d’autres sources de financement publiques sur le projet. Plus d’informations et recommandations </w:t>
      </w:r>
      <w:hyperlink r:id="rId24" w:history="1">
        <w:r w:rsidRPr="004C253C">
          <w:rPr>
            <w:rStyle w:val="Lienhypertexte"/>
          </w:rPr>
          <w:t>ici</w:t>
        </w:r>
      </w:hyperlink>
      <w:r>
        <w:rPr>
          <w:color w:val="000000"/>
        </w:rPr>
        <w:t>.</w:t>
      </w:r>
    </w:p>
    <w:p w14:paraId="340234E3" w14:textId="77777777" w:rsidR="00CC781C" w:rsidRDefault="008F7158">
      <w:pPr>
        <w:pStyle w:val="Titre1"/>
        <w:ind w:firstLine="360"/>
      </w:pPr>
      <w:r>
        <w:t>Exemples de projet</w:t>
      </w:r>
    </w:p>
    <w:p w14:paraId="53B3C8AC" w14:textId="77777777" w:rsidR="00CC781C" w:rsidRDefault="00CC781C">
      <w:pPr>
        <w:tabs>
          <w:tab w:val="left" w:pos="1307"/>
        </w:tabs>
        <w:jc w:val="both"/>
      </w:pPr>
    </w:p>
    <w:p w14:paraId="33265104" w14:textId="77777777" w:rsidR="003D00F4" w:rsidRDefault="00E241CA" w:rsidP="003D00F4">
      <w:pPr>
        <w:pBdr>
          <w:top w:val="nil"/>
          <w:left w:val="nil"/>
          <w:bottom w:val="nil"/>
          <w:right w:val="nil"/>
          <w:between w:val="nil"/>
        </w:pBdr>
        <w:tabs>
          <w:tab w:val="left" w:pos="1307"/>
        </w:tabs>
        <w:jc w:val="both"/>
      </w:pPr>
      <w:r>
        <w:t>Le Fonds pour l’innovation ayant lancé ses premiers appels en 2020, il n’existe pas encore d’exemples de projets financés par ce programme. Toutefois, vous trouverez ci-dessous des exemples de projets financés par son prédécesseur, NER300.</w:t>
      </w:r>
    </w:p>
    <w:p w14:paraId="5FFEDAD2" w14:textId="77777777" w:rsidR="003D00F4" w:rsidRPr="0069390D" w:rsidRDefault="003D00F4" w:rsidP="003D00F4">
      <w:pPr>
        <w:pBdr>
          <w:top w:val="nil"/>
          <w:left w:val="nil"/>
          <w:bottom w:val="nil"/>
          <w:right w:val="nil"/>
          <w:between w:val="nil"/>
        </w:pBdr>
        <w:tabs>
          <w:tab w:val="left" w:pos="1307"/>
        </w:tabs>
        <w:jc w:val="both"/>
      </w:pPr>
      <w:r>
        <w:t xml:space="preserve">Par ailleurs, vous trouverez </w:t>
      </w:r>
      <w:r w:rsidR="009C20E2">
        <w:t>quelques</w:t>
      </w:r>
      <w:r>
        <w:t xml:space="preserve"> informations sur les types de projets de grande échelle soumis au Fonds pour l’innovation lors de l’appel 2020 </w:t>
      </w:r>
      <w:hyperlink r:id="rId25" w:history="1">
        <w:r w:rsidRPr="0069390D">
          <w:rPr>
            <w:rStyle w:val="Lienhypertexte"/>
          </w:rPr>
          <w:t>ici</w:t>
        </w:r>
      </w:hyperlink>
      <w:r>
        <w:t>.</w:t>
      </w:r>
    </w:p>
    <w:p w14:paraId="4F1D985C" w14:textId="77777777" w:rsidR="00B17BA0" w:rsidRDefault="00B17BA0" w:rsidP="00B17BA0">
      <w:pPr>
        <w:pBdr>
          <w:top w:val="nil"/>
          <w:left w:val="nil"/>
          <w:bottom w:val="nil"/>
          <w:right w:val="nil"/>
          <w:between w:val="nil"/>
        </w:pBdr>
        <w:tabs>
          <w:tab w:val="left" w:pos="1307"/>
        </w:tabs>
        <w:ind w:left="360"/>
        <w:jc w:val="both"/>
      </w:pPr>
    </w:p>
    <w:tbl>
      <w:tblPr>
        <w:tblStyle w:val="Grilledutableau"/>
        <w:tblW w:w="0" w:type="auto"/>
        <w:tblLook w:val="04A0" w:firstRow="1" w:lastRow="0" w:firstColumn="1" w:lastColumn="0" w:noHBand="0" w:noVBand="1"/>
      </w:tblPr>
      <w:tblGrid>
        <w:gridCol w:w="9771"/>
      </w:tblGrid>
      <w:tr w:rsidR="0076064D" w14:paraId="46F8193A" w14:textId="77777777" w:rsidTr="0076064D">
        <w:tc>
          <w:tcPr>
            <w:tcW w:w="9771" w:type="dxa"/>
            <w:shd w:val="clear" w:color="auto" w:fill="E5DFEC" w:themeFill="accent4" w:themeFillTint="33"/>
          </w:tcPr>
          <w:p w14:paraId="3D6AD4BE" w14:textId="77777777" w:rsidR="0076064D" w:rsidRDefault="003D00F4" w:rsidP="0076064D">
            <w:pPr>
              <w:tabs>
                <w:tab w:val="left" w:pos="1307"/>
              </w:tabs>
              <w:jc w:val="center"/>
            </w:pPr>
            <w:r>
              <w:rPr>
                <w:b/>
                <w:bCs/>
              </w:rPr>
              <w:t xml:space="preserve">NER300 : </w:t>
            </w:r>
            <w:r w:rsidR="00E241CA">
              <w:rPr>
                <w:b/>
                <w:bCs/>
              </w:rPr>
              <w:t>Géothermie Strasbourg (GEOSTRAS)</w:t>
            </w:r>
          </w:p>
          <w:p w14:paraId="46705643" w14:textId="77777777" w:rsidR="0076064D" w:rsidRDefault="0076064D" w:rsidP="0076064D">
            <w:pPr>
              <w:tabs>
                <w:tab w:val="left" w:pos="1307"/>
              </w:tabs>
            </w:pPr>
          </w:p>
          <w:p w14:paraId="5EAA2EFD" w14:textId="77777777" w:rsidR="0076064D" w:rsidRDefault="0076064D" w:rsidP="005B10FE">
            <w:pPr>
              <w:tabs>
                <w:tab w:val="left" w:pos="1307"/>
              </w:tabs>
              <w:jc w:val="both"/>
            </w:pPr>
            <w:r w:rsidRPr="0076064D">
              <w:rPr>
                <w:u w:val="single"/>
              </w:rPr>
              <w:t>Porteur de projet :</w:t>
            </w:r>
            <w:r>
              <w:t xml:space="preserve"> </w:t>
            </w:r>
            <w:r w:rsidR="00E241CA">
              <w:t xml:space="preserve">FONROCHE Géothermie (FR) en partenariat avec </w:t>
            </w:r>
            <w:proofErr w:type="spellStart"/>
            <w:r w:rsidR="00E241CA">
              <w:t>Herrenknecht</w:t>
            </w:r>
            <w:proofErr w:type="spellEnd"/>
            <w:r w:rsidR="00E241CA">
              <w:t xml:space="preserve"> Vertical (ALL) et </w:t>
            </w:r>
            <w:proofErr w:type="spellStart"/>
            <w:r w:rsidR="00E241CA">
              <w:t>Angers&amp;Soehne</w:t>
            </w:r>
            <w:proofErr w:type="spellEnd"/>
            <w:r w:rsidR="00E241CA">
              <w:t xml:space="preserve"> (ALL)</w:t>
            </w:r>
          </w:p>
          <w:p w14:paraId="41D99A45" w14:textId="77777777" w:rsidR="0076064D" w:rsidRPr="00177447" w:rsidRDefault="00364768" w:rsidP="0076064D">
            <w:pPr>
              <w:tabs>
                <w:tab w:val="left" w:pos="1307"/>
              </w:tabs>
              <w:rPr>
                <w:lang w:val="en-GB"/>
              </w:rPr>
            </w:pPr>
            <w:hyperlink r:id="rId26" w:history="1">
              <w:r w:rsidR="0076064D" w:rsidRPr="00177447">
                <w:rPr>
                  <w:rStyle w:val="Lienhypertexte"/>
                  <w:lang w:val="en-GB"/>
                </w:rPr>
                <w:t>Site web</w:t>
              </w:r>
            </w:hyperlink>
          </w:p>
          <w:p w14:paraId="5400144B" w14:textId="77777777" w:rsidR="000B12EC" w:rsidRPr="00177447" w:rsidRDefault="000B12EC" w:rsidP="0076064D">
            <w:pPr>
              <w:tabs>
                <w:tab w:val="left" w:pos="1307"/>
              </w:tabs>
              <w:rPr>
                <w:lang w:val="en-GB"/>
              </w:rPr>
            </w:pPr>
            <w:proofErr w:type="gramStart"/>
            <w:r w:rsidRPr="00177447">
              <w:rPr>
                <w:lang w:val="en-GB"/>
              </w:rPr>
              <w:t>Contact :</w:t>
            </w:r>
            <w:proofErr w:type="gramEnd"/>
            <w:r w:rsidRPr="00177447">
              <w:rPr>
                <w:lang w:val="en-GB"/>
              </w:rPr>
              <w:t xml:space="preserve"> </w:t>
            </w:r>
            <w:hyperlink r:id="rId27" w:history="1">
              <w:r w:rsidR="00094011" w:rsidRPr="00177447">
                <w:rPr>
                  <w:rStyle w:val="Lienhypertexte"/>
                  <w:lang w:val="en-GB"/>
                </w:rPr>
                <w:t>geothermie@fonroche.fr</w:t>
              </w:r>
            </w:hyperlink>
            <w:r w:rsidRPr="00177447">
              <w:rPr>
                <w:lang w:val="en-GB"/>
              </w:rPr>
              <w:t xml:space="preserve"> </w:t>
            </w:r>
          </w:p>
          <w:p w14:paraId="2217692C" w14:textId="77777777" w:rsidR="0076064D" w:rsidRPr="00E241CA" w:rsidRDefault="0076064D" w:rsidP="005F0664">
            <w:pPr>
              <w:tabs>
                <w:tab w:val="left" w:pos="1307"/>
              </w:tabs>
              <w:spacing w:after="120"/>
            </w:pPr>
            <w:r w:rsidRPr="0076064D">
              <w:rPr>
                <w:u w:val="single"/>
              </w:rPr>
              <w:t>Montant de la subvention UE :</w:t>
            </w:r>
            <w:r w:rsidR="00E241CA">
              <w:t xml:space="preserve"> environ 16,8 millions €</w:t>
            </w:r>
          </w:p>
          <w:p w14:paraId="772A9459" w14:textId="77777777" w:rsidR="000B12EC" w:rsidRDefault="00E241CA" w:rsidP="005B10FE">
            <w:pPr>
              <w:tabs>
                <w:tab w:val="left" w:pos="1307"/>
              </w:tabs>
              <w:jc w:val="both"/>
            </w:pPr>
            <w:r>
              <w:t xml:space="preserve">Il s’agit d’un projet de centrale géothermique produisant de l’électricité et de la chaleur à partir de la géothermie profonde. Il vise à optimiser la production géothermique par des méthodes douces </w:t>
            </w:r>
            <w:r w:rsidR="000B12EC" w:rsidRPr="000B12EC">
              <w:t>de mise en production du réservoir géothermique via l’amélioration de l’architecture de puits et la valorisation énergétique géothermique maximale en surface.</w:t>
            </w:r>
          </w:p>
          <w:p w14:paraId="378A1298" w14:textId="77777777" w:rsidR="00E241CA" w:rsidRPr="00E241CA" w:rsidRDefault="00E241CA" w:rsidP="005B10FE">
            <w:pPr>
              <w:tabs>
                <w:tab w:val="left" w:pos="1307"/>
              </w:tabs>
              <w:jc w:val="both"/>
            </w:pPr>
            <w:r w:rsidRPr="000B12EC">
              <w:rPr>
                <w:i/>
                <w:iCs/>
                <w:sz w:val="20"/>
                <w:szCs w:val="20"/>
              </w:rPr>
              <w:t>NB : le projet a dû être suspendu à la fin de l’année 2020 en raison de l’activité sismique constatée dans la zone.</w:t>
            </w:r>
          </w:p>
        </w:tc>
      </w:tr>
    </w:tbl>
    <w:p w14:paraId="36EC8EE7" w14:textId="77777777" w:rsidR="0076064D" w:rsidRDefault="0076064D" w:rsidP="0076064D">
      <w:pPr>
        <w:pBdr>
          <w:top w:val="nil"/>
          <w:left w:val="nil"/>
          <w:bottom w:val="nil"/>
          <w:right w:val="nil"/>
          <w:between w:val="nil"/>
        </w:pBdr>
        <w:tabs>
          <w:tab w:val="left" w:pos="1307"/>
        </w:tabs>
        <w:jc w:val="both"/>
      </w:pPr>
    </w:p>
    <w:tbl>
      <w:tblPr>
        <w:tblStyle w:val="Grilledutableau"/>
        <w:tblW w:w="0" w:type="auto"/>
        <w:tblLook w:val="04A0" w:firstRow="1" w:lastRow="0" w:firstColumn="1" w:lastColumn="0" w:noHBand="0" w:noVBand="1"/>
      </w:tblPr>
      <w:tblGrid>
        <w:gridCol w:w="9771"/>
      </w:tblGrid>
      <w:tr w:rsidR="0076064D" w14:paraId="546929DA" w14:textId="77777777" w:rsidTr="0046643B">
        <w:tc>
          <w:tcPr>
            <w:tcW w:w="9771" w:type="dxa"/>
            <w:shd w:val="clear" w:color="auto" w:fill="E5DFEC" w:themeFill="accent4" w:themeFillTint="33"/>
          </w:tcPr>
          <w:p w14:paraId="2C32FCAD" w14:textId="77777777" w:rsidR="0076064D" w:rsidRPr="00B177E7" w:rsidRDefault="003D00F4" w:rsidP="0046643B">
            <w:pPr>
              <w:tabs>
                <w:tab w:val="left" w:pos="1307"/>
              </w:tabs>
              <w:jc w:val="center"/>
              <w:rPr>
                <w:lang w:val="en-US"/>
              </w:rPr>
            </w:pPr>
            <w:r w:rsidRPr="00B177E7">
              <w:rPr>
                <w:b/>
                <w:bCs/>
                <w:lang w:val="en-US"/>
              </w:rPr>
              <w:t>NER</w:t>
            </w:r>
            <w:proofErr w:type="gramStart"/>
            <w:r w:rsidRPr="00B177E7">
              <w:rPr>
                <w:b/>
                <w:bCs/>
                <w:lang w:val="en-US"/>
              </w:rPr>
              <w:t>300 :</w:t>
            </w:r>
            <w:proofErr w:type="gramEnd"/>
            <w:r w:rsidRPr="00B177E7">
              <w:rPr>
                <w:b/>
                <w:bCs/>
                <w:lang w:val="en-US"/>
              </w:rPr>
              <w:t xml:space="preserve"> </w:t>
            </w:r>
            <w:r w:rsidR="00094011" w:rsidRPr="00B177E7">
              <w:rPr>
                <w:b/>
                <w:bCs/>
                <w:lang w:val="en-US"/>
              </w:rPr>
              <w:t>New Energy for Martinique and Overseas</w:t>
            </w:r>
            <w:r w:rsidR="005B10FE" w:rsidRPr="00B177E7">
              <w:rPr>
                <w:b/>
                <w:bCs/>
                <w:lang w:val="en-US"/>
              </w:rPr>
              <w:t xml:space="preserve"> (NEMO)</w:t>
            </w:r>
          </w:p>
          <w:p w14:paraId="3B143AA3" w14:textId="77777777" w:rsidR="0076064D" w:rsidRPr="00B177E7" w:rsidRDefault="0076064D" w:rsidP="0046643B">
            <w:pPr>
              <w:tabs>
                <w:tab w:val="left" w:pos="1307"/>
              </w:tabs>
              <w:rPr>
                <w:lang w:val="en-US"/>
              </w:rPr>
            </w:pPr>
          </w:p>
          <w:p w14:paraId="121A4520" w14:textId="77777777" w:rsidR="0076064D" w:rsidRDefault="0076064D" w:rsidP="0046643B">
            <w:pPr>
              <w:tabs>
                <w:tab w:val="left" w:pos="1307"/>
              </w:tabs>
            </w:pPr>
            <w:r w:rsidRPr="0076064D">
              <w:rPr>
                <w:u w:val="single"/>
              </w:rPr>
              <w:t>Porteur de projet :</w:t>
            </w:r>
            <w:r>
              <w:t xml:space="preserve"> </w:t>
            </w:r>
            <w:proofErr w:type="spellStart"/>
            <w:r w:rsidR="005B10FE">
              <w:t>Akuo</w:t>
            </w:r>
            <w:proofErr w:type="spellEnd"/>
            <w:r w:rsidR="005B10FE">
              <w:t xml:space="preserve"> </w:t>
            </w:r>
            <w:proofErr w:type="spellStart"/>
            <w:r w:rsidR="005B10FE">
              <w:t>Energy</w:t>
            </w:r>
            <w:proofErr w:type="spellEnd"/>
            <w:r w:rsidR="005B10FE">
              <w:t xml:space="preserve"> (FR) et Naval Group (FR)</w:t>
            </w:r>
          </w:p>
          <w:p w14:paraId="14DAA229" w14:textId="77777777" w:rsidR="0076064D" w:rsidRPr="00177447" w:rsidRDefault="00364768" w:rsidP="0046643B">
            <w:pPr>
              <w:tabs>
                <w:tab w:val="left" w:pos="1307"/>
              </w:tabs>
              <w:rPr>
                <w:lang w:val="en-GB"/>
              </w:rPr>
            </w:pPr>
            <w:hyperlink r:id="rId28" w:history="1">
              <w:r w:rsidR="0076064D" w:rsidRPr="00177447">
                <w:rPr>
                  <w:rStyle w:val="Lienhypertexte"/>
                  <w:lang w:val="en-GB"/>
                </w:rPr>
                <w:t>Site web</w:t>
              </w:r>
            </w:hyperlink>
          </w:p>
          <w:p w14:paraId="228BC7F4" w14:textId="77777777" w:rsidR="0076064D" w:rsidRPr="00177447" w:rsidRDefault="0076064D" w:rsidP="0046643B">
            <w:pPr>
              <w:tabs>
                <w:tab w:val="left" w:pos="1307"/>
              </w:tabs>
              <w:rPr>
                <w:lang w:val="en-GB"/>
              </w:rPr>
            </w:pPr>
            <w:proofErr w:type="gramStart"/>
            <w:r w:rsidRPr="00177447">
              <w:rPr>
                <w:lang w:val="en-GB"/>
              </w:rPr>
              <w:t>Contact</w:t>
            </w:r>
            <w:r w:rsidR="005B10FE" w:rsidRPr="00177447">
              <w:rPr>
                <w:lang w:val="en-GB"/>
              </w:rPr>
              <w:t> :</w:t>
            </w:r>
            <w:proofErr w:type="gramEnd"/>
            <w:r w:rsidR="005B10FE" w:rsidRPr="00177447">
              <w:rPr>
                <w:lang w:val="en-GB"/>
              </w:rPr>
              <w:t xml:space="preserve"> </w:t>
            </w:r>
            <w:hyperlink r:id="rId29" w:history="1">
              <w:r w:rsidR="005B10FE" w:rsidRPr="00177447">
                <w:rPr>
                  <w:rStyle w:val="Lienhypertexte"/>
                  <w:lang w:val="en-GB"/>
                </w:rPr>
                <w:t>akuoenergy@akuoenergy.com</w:t>
              </w:r>
            </w:hyperlink>
            <w:r w:rsidR="005B10FE" w:rsidRPr="00177447">
              <w:rPr>
                <w:lang w:val="en-GB"/>
              </w:rPr>
              <w:t xml:space="preserve"> </w:t>
            </w:r>
          </w:p>
          <w:p w14:paraId="678292F0" w14:textId="77777777" w:rsidR="0076064D" w:rsidRPr="005B10FE" w:rsidRDefault="0076064D" w:rsidP="005F0664">
            <w:pPr>
              <w:tabs>
                <w:tab w:val="left" w:pos="1307"/>
              </w:tabs>
              <w:spacing w:after="120"/>
            </w:pPr>
            <w:r w:rsidRPr="0076064D">
              <w:rPr>
                <w:u w:val="single"/>
              </w:rPr>
              <w:t>Montant de la subvention UE :</w:t>
            </w:r>
            <w:r w:rsidR="005B10FE">
              <w:t xml:space="preserve"> environ 72,1 millions €</w:t>
            </w:r>
          </w:p>
          <w:p w14:paraId="174BDCFA" w14:textId="77777777" w:rsidR="0076064D" w:rsidRPr="0076064D" w:rsidRDefault="005B10FE" w:rsidP="005B10FE">
            <w:pPr>
              <w:tabs>
                <w:tab w:val="left" w:pos="1307"/>
              </w:tabs>
              <w:jc w:val="both"/>
            </w:pPr>
            <w:r w:rsidRPr="005B10FE">
              <w:t>Implanté en Martinique, NEMO est un projet de centrale flottante de production d’énergie thermique des mers d’une puissance nette de 10,7 MW. Développé en partenariat avec DCNS, NEMO devrait être le premier projet de production d’énergie thermique des mers à entrer en production commerciale, avec une mise en service prévue à l’horizon 2020.</w:t>
            </w:r>
          </w:p>
        </w:tc>
      </w:tr>
    </w:tbl>
    <w:p w14:paraId="61777187" w14:textId="77777777" w:rsidR="00CC781C" w:rsidRDefault="008F7158" w:rsidP="005F0664">
      <w:pPr>
        <w:pStyle w:val="Titre1"/>
        <w:spacing w:before="240" w:after="120"/>
        <w:ind w:left="357" w:firstLine="357"/>
      </w:pPr>
      <w:r>
        <w:t>Informations pratiques</w:t>
      </w:r>
    </w:p>
    <w:p w14:paraId="7DE3555C" w14:textId="23F19F54" w:rsidR="008447C2" w:rsidRDefault="008447C2" w:rsidP="0048122F">
      <w:pPr>
        <w:pStyle w:val="Paragraphedeliste"/>
        <w:numPr>
          <w:ilvl w:val="0"/>
          <w:numId w:val="32"/>
        </w:numPr>
        <w:pBdr>
          <w:top w:val="nil"/>
          <w:left w:val="nil"/>
          <w:bottom w:val="nil"/>
          <w:right w:val="nil"/>
          <w:between w:val="nil"/>
        </w:pBdr>
        <w:tabs>
          <w:tab w:val="left" w:pos="1307"/>
        </w:tabs>
        <w:jc w:val="both"/>
      </w:pPr>
      <w:r>
        <w:t>Le prochain appel à projets devrait être publié au cours du quatrième trimestre 2021.</w:t>
      </w:r>
    </w:p>
    <w:p w14:paraId="3E4B2002" w14:textId="73D7D556" w:rsidR="0048122F" w:rsidRDefault="008447C2" w:rsidP="0048122F">
      <w:pPr>
        <w:pStyle w:val="Paragraphedeliste"/>
        <w:numPr>
          <w:ilvl w:val="0"/>
          <w:numId w:val="32"/>
        </w:numPr>
        <w:pBdr>
          <w:top w:val="nil"/>
          <w:left w:val="nil"/>
          <w:bottom w:val="nil"/>
          <w:right w:val="nil"/>
          <w:between w:val="nil"/>
        </w:pBdr>
        <w:tabs>
          <w:tab w:val="left" w:pos="1307"/>
        </w:tabs>
        <w:jc w:val="both"/>
      </w:pPr>
      <w:r>
        <w:t>P</w:t>
      </w:r>
      <w:r w:rsidR="0048122F">
        <w:t xml:space="preserve">our vérifier leur publication consultez régulièrement </w:t>
      </w:r>
      <w:hyperlink r:id="rId30" w:history="1">
        <w:r w:rsidR="0048122F" w:rsidRPr="0048122F">
          <w:rPr>
            <w:rStyle w:val="Lienhypertexte"/>
          </w:rPr>
          <w:t>la page de l’agence CINEA</w:t>
        </w:r>
      </w:hyperlink>
      <w:r w:rsidR="0048122F">
        <w:t xml:space="preserve">, et </w:t>
      </w:r>
      <w:hyperlink r:id="rId31" w:anchor="tab-0-0" w:history="1">
        <w:r w:rsidR="0048122F" w:rsidRPr="0048122F">
          <w:rPr>
            <w:rStyle w:val="Lienhypertexte"/>
          </w:rPr>
          <w:t>de la Commission européenne</w:t>
        </w:r>
      </w:hyperlink>
      <w:r w:rsidR="0048122F">
        <w:t>.</w:t>
      </w:r>
    </w:p>
    <w:p w14:paraId="6317D001" w14:textId="7786C9FD" w:rsidR="00B34036" w:rsidRDefault="00C02EE4" w:rsidP="0048122F">
      <w:pPr>
        <w:pStyle w:val="Paragraphedeliste"/>
        <w:numPr>
          <w:ilvl w:val="0"/>
          <w:numId w:val="32"/>
        </w:numPr>
        <w:pBdr>
          <w:top w:val="nil"/>
          <w:left w:val="nil"/>
          <w:bottom w:val="nil"/>
          <w:right w:val="nil"/>
          <w:between w:val="nil"/>
        </w:pBdr>
        <w:tabs>
          <w:tab w:val="left" w:pos="1307"/>
        </w:tabs>
        <w:jc w:val="both"/>
      </w:pPr>
      <w:r>
        <w:t>Pour se renseigner davantage sur le Fonds pour l’innovation, vous pouvez contacter le Point de Contact National</w:t>
      </w:r>
      <w:r w:rsidR="00C7607E">
        <w:rPr>
          <w:rStyle w:val="Appelnotedebasdep"/>
        </w:rPr>
        <w:footnoteReference w:id="5"/>
      </w:r>
      <w:r>
        <w:t xml:space="preserve"> du programme en France</w:t>
      </w:r>
      <w:r w:rsidR="00047D8A">
        <w:t xml:space="preserve"> dont les coordonnées sont consultables </w:t>
      </w:r>
      <w:hyperlink r:id="rId32" w:anchor="tab-0-4" w:history="1">
        <w:r w:rsidR="00047D8A" w:rsidRPr="00047D8A">
          <w:rPr>
            <w:rStyle w:val="Lienhypertexte"/>
          </w:rPr>
          <w:t>sur cette page</w:t>
        </w:r>
      </w:hyperlink>
      <w:r w:rsidR="00047D8A">
        <w:t>.</w:t>
      </w:r>
    </w:p>
    <w:p w14:paraId="08FFF689" w14:textId="5431F6A6" w:rsidR="008447C2" w:rsidRDefault="008447C2" w:rsidP="0048122F">
      <w:pPr>
        <w:pStyle w:val="Paragraphedeliste"/>
        <w:numPr>
          <w:ilvl w:val="0"/>
          <w:numId w:val="32"/>
        </w:numPr>
        <w:pBdr>
          <w:top w:val="nil"/>
          <w:left w:val="nil"/>
          <w:bottom w:val="nil"/>
          <w:right w:val="nil"/>
          <w:between w:val="nil"/>
        </w:pBdr>
        <w:tabs>
          <w:tab w:val="left" w:pos="1307"/>
        </w:tabs>
        <w:jc w:val="both"/>
      </w:pPr>
      <w:r>
        <w:t xml:space="preserve">Des webinaires d’information portant sur les modalités de dépôt de projets ainsi que les bonnes pratiques au niveau de la préparation des candidatures sont consultables </w:t>
      </w:r>
      <w:hyperlink r:id="rId33" w:history="1">
        <w:r w:rsidRPr="008447C2">
          <w:rPr>
            <w:rStyle w:val="Lienhypertexte"/>
          </w:rPr>
          <w:t>ici</w:t>
        </w:r>
      </w:hyperlink>
      <w:r>
        <w:t xml:space="preserve"> et </w:t>
      </w:r>
      <w:hyperlink r:id="rId34" w:history="1">
        <w:r w:rsidRPr="008447C2">
          <w:rPr>
            <w:rStyle w:val="Lienhypertexte"/>
          </w:rPr>
          <w:t>ici</w:t>
        </w:r>
      </w:hyperlink>
      <w:r>
        <w:t>.</w:t>
      </w:r>
    </w:p>
    <w:sectPr w:rsidR="008447C2">
      <w:headerReference w:type="default" r:id="rId35"/>
      <w:footerReference w:type="even" r:id="rId36"/>
      <w:footerReference w:type="default" r:id="rId37"/>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AAE9F" w14:textId="77777777" w:rsidR="00C01E4F" w:rsidRDefault="00C01E4F">
      <w:r>
        <w:separator/>
      </w:r>
    </w:p>
  </w:endnote>
  <w:endnote w:type="continuationSeparator" w:id="0">
    <w:p w14:paraId="1903A50B" w14:textId="77777777" w:rsidR="00C01E4F" w:rsidRDefault="00C01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Noto Sans Symbols">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mo">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Corps CS)">
    <w:altName w:val="Times New Roman"/>
    <w:panose1 w:val="020B0604020202020204"/>
    <w:charset w:val="00"/>
    <w:family w:val="roman"/>
    <w:pitch w:val="default"/>
  </w:font>
  <w:font w:name="Trajan Pro">
    <w:altName w:val="Trajan Pro"/>
    <w:panose1 w:val="02020502050506020301"/>
    <w:charset w:val="4D"/>
    <w:family w:val="roman"/>
    <w:notTrueType/>
    <w:pitch w:val="variable"/>
    <w:sig w:usb0="00000007" w:usb1="00000000" w:usb2="00000000" w:usb3="00000000" w:csb0="00000093"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Orator Std">
    <w:altName w:val="Orator Std"/>
    <w:panose1 w:val="020D0509020203030204"/>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50B8E" w14:textId="77777777" w:rsidR="00BF5025" w:rsidRDefault="00BF5025">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561934A8" w14:textId="77777777" w:rsidR="00BF5025" w:rsidRDefault="00BF5025">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629F0" w14:textId="77777777" w:rsidR="00BF5025" w:rsidRDefault="00BF5025">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87231E">
      <w:rPr>
        <w:noProof/>
        <w:color w:val="000000"/>
      </w:rPr>
      <w:t>8</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BF5025" w14:paraId="03264C78" w14:textId="77777777">
      <w:tc>
        <w:tcPr>
          <w:tcW w:w="1661" w:type="dxa"/>
        </w:tcPr>
        <w:p w14:paraId="76539C79" w14:textId="77777777" w:rsidR="00BF5025" w:rsidRDefault="00BF5025">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A6C852" w14:textId="77777777" w:rsidR="00BF5025" w:rsidRDefault="00BF5025">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195F96BB" w14:textId="77777777" w:rsidR="00BF5025" w:rsidRDefault="00BF5025">
          <w:pPr>
            <w:pBdr>
              <w:top w:val="nil"/>
              <w:left w:val="nil"/>
              <w:bottom w:val="nil"/>
              <w:right w:val="nil"/>
              <w:between w:val="nil"/>
            </w:pBdr>
            <w:tabs>
              <w:tab w:val="center" w:pos="4536"/>
              <w:tab w:val="right" w:pos="9072"/>
            </w:tabs>
            <w:ind w:right="360"/>
            <w:rPr>
              <w:color w:val="000000"/>
            </w:rPr>
          </w:pPr>
          <w:r>
            <w:rPr>
              <w:color w:val="000000"/>
            </w:rPr>
            <w:t>2021</w:t>
          </w:r>
        </w:p>
      </w:tc>
    </w:tr>
  </w:tbl>
  <w:p w14:paraId="6F504FFA" w14:textId="77777777" w:rsidR="00BF5025" w:rsidRDefault="00BF5025">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17988B" w14:textId="77777777" w:rsidR="00C01E4F" w:rsidRDefault="00C01E4F">
      <w:r>
        <w:separator/>
      </w:r>
    </w:p>
  </w:footnote>
  <w:footnote w:type="continuationSeparator" w:id="0">
    <w:p w14:paraId="1B85ADC3" w14:textId="77777777" w:rsidR="00C01E4F" w:rsidRDefault="00C01E4F">
      <w:r>
        <w:continuationSeparator/>
      </w:r>
    </w:p>
  </w:footnote>
  <w:footnote w:id="1">
    <w:p w14:paraId="0F308B8C" w14:textId="42B48C05" w:rsidR="00BF5025" w:rsidRDefault="00BF5025">
      <w:pPr>
        <w:pStyle w:val="Notedebasdepage"/>
      </w:pPr>
      <w:r>
        <w:rPr>
          <w:rStyle w:val="Appelnotedebasdep"/>
        </w:rPr>
        <w:footnoteRef/>
      </w:r>
      <w:r>
        <w:t xml:space="preserve"> Pour s’assurer qu’un secteur relève bien de la Directive, se référer obligatoirement à l’annexe I de la directive pour la liste détaillée ainsi que les seuils de production applicables à chaque secteur.</w:t>
      </w:r>
      <w:r w:rsidR="00362C87">
        <w:t xml:space="preserve"> Cette directive fait actuellement l’objet d’une révision – il est donc nécessaire de bien veiller à se référer à la dernière version en vigueur.</w:t>
      </w:r>
    </w:p>
  </w:footnote>
  <w:footnote w:id="2">
    <w:p w14:paraId="061B0C1A" w14:textId="2C211835" w:rsidR="00763C21" w:rsidRDefault="00763C21">
      <w:pPr>
        <w:pStyle w:val="Notedebasdepage"/>
      </w:pPr>
      <w:r>
        <w:rPr>
          <w:rStyle w:val="Appelnotedebasdep"/>
        </w:rPr>
        <w:footnoteRef/>
      </w:r>
      <w:r>
        <w:t xml:space="preserve"> Consulter l’article 5 du </w:t>
      </w:r>
      <w:hyperlink r:id="rId1" w:history="1">
        <w:r w:rsidRPr="00763C21">
          <w:rPr>
            <w:rStyle w:val="Lienhypertexte"/>
          </w:rPr>
          <w:t>règlement relatif au Fonds pour l’innovation</w:t>
        </w:r>
      </w:hyperlink>
      <w:r>
        <w:t xml:space="preserve"> pour la définition exacte.</w:t>
      </w:r>
    </w:p>
  </w:footnote>
  <w:footnote w:id="3">
    <w:p w14:paraId="230AE41F" w14:textId="3059FE38" w:rsidR="0050503B" w:rsidRDefault="0050503B" w:rsidP="0050503B">
      <w:pPr>
        <w:pStyle w:val="Notedebasdepage"/>
        <w:jc w:val="both"/>
      </w:pPr>
      <w:r>
        <w:rPr>
          <w:rStyle w:val="Appelnotedebasdep"/>
        </w:rPr>
        <w:footnoteRef/>
      </w:r>
      <w:r>
        <w:t xml:space="preserve"> Le lien mène à l’annexe applicable à l’appel à projets publié en 2020. Il conviendra de toujours consulter les documents les plus à jours pour appliquer la et les méthodes de calcul préconisées par le programme de financement, sous peine de non-conformité de la candidature.</w:t>
      </w:r>
    </w:p>
  </w:footnote>
  <w:footnote w:id="4">
    <w:p w14:paraId="4EAE264F" w14:textId="4626D5E2" w:rsidR="000F4B20" w:rsidRPr="000C638C" w:rsidRDefault="000F4B20" w:rsidP="000C638C">
      <w:pPr>
        <w:pStyle w:val="Notedebasdepage"/>
        <w:jc w:val="both"/>
      </w:pPr>
      <w:r>
        <w:rPr>
          <w:rStyle w:val="Appelnotedebasdep"/>
        </w:rPr>
        <w:footnoteRef/>
      </w:r>
      <w:r>
        <w:t xml:space="preserve"> C’est-à-dire le « </w:t>
      </w:r>
      <w:r>
        <w:rPr>
          <w:i/>
          <w:iCs/>
        </w:rPr>
        <w:t>le moment où, dans le cycle de développement du projet, tous les accord</w:t>
      </w:r>
      <w:r w:rsidR="000C638C">
        <w:rPr>
          <w:i/>
          <w:iCs/>
        </w:rPr>
        <w:t>s</w:t>
      </w:r>
      <w:r>
        <w:rPr>
          <w:i/>
          <w:iCs/>
        </w:rPr>
        <w:t xml:space="preserve"> afférents au projet et conventions de financement ont été signés et toutes les conditions requises y figurant ont été remplies.</w:t>
      </w:r>
      <w:r w:rsidR="000C638C">
        <w:t> »</w:t>
      </w:r>
    </w:p>
  </w:footnote>
  <w:footnote w:id="5">
    <w:p w14:paraId="5466319B" w14:textId="77777777" w:rsidR="00C7607E" w:rsidRDefault="00C7607E" w:rsidP="00047D8A">
      <w:pPr>
        <w:pStyle w:val="Notedebasdepage"/>
        <w:jc w:val="both"/>
      </w:pPr>
      <w:r>
        <w:rPr>
          <w:rStyle w:val="Appelnotedebasdep"/>
        </w:rPr>
        <w:footnoteRef/>
      </w:r>
      <w:r>
        <w:t xml:space="preserve"> </w:t>
      </w:r>
      <w:r w:rsidR="00047D8A">
        <w:t>Pour la plupart des programmes de financement européens, il existe des points de contacts nationaux dans chaque État membre, dont le rôle est d’informer (et parfois d’appuyer) les porteurs de projets sur le programme en question.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62189" w14:textId="77777777" w:rsidR="00BF5025" w:rsidRDefault="00BF5025">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10B8106A" wp14:editId="005A6C35">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27F5DB7D" wp14:editId="1DF200AA">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681028BC" wp14:editId="4EF7B03A">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900DA"/>
    <w:multiLevelType w:val="hybridMultilevel"/>
    <w:tmpl w:val="9D02D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123062"/>
    <w:multiLevelType w:val="multilevel"/>
    <w:tmpl w:val="CC9AC7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42C1F59"/>
    <w:multiLevelType w:val="hybridMultilevel"/>
    <w:tmpl w:val="BF6637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FD0121"/>
    <w:multiLevelType w:val="hybridMultilevel"/>
    <w:tmpl w:val="F5708ABA"/>
    <w:lvl w:ilvl="0" w:tplc="040C0003">
      <w:start w:val="1"/>
      <w:numFmt w:val="bullet"/>
      <w:lvlText w:val="o"/>
      <w:lvlJc w:val="left"/>
      <w:pPr>
        <w:ind w:left="862" w:hanging="360"/>
      </w:pPr>
      <w:rPr>
        <w:rFonts w:ascii="Courier New" w:hAnsi="Courier New" w:cs="Courier New"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5" w15:restartNumberingAfterBreak="0">
    <w:nsid w:val="18006D9D"/>
    <w:multiLevelType w:val="hybridMultilevel"/>
    <w:tmpl w:val="8D989F4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8633148"/>
    <w:multiLevelType w:val="multilevel"/>
    <w:tmpl w:val="CC9AC7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CA52408"/>
    <w:multiLevelType w:val="hybridMultilevel"/>
    <w:tmpl w:val="EBE418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212B47"/>
    <w:multiLevelType w:val="hybridMultilevel"/>
    <w:tmpl w:val="EAC8B7CE"/>
    <w:lvl w:ilvl="0" w:tplc="C1CE812C">
      <w:start w:val="10"/>
      <w:numFmt w:val="bullet"/>
      <w:lvlText w:val=""/>
      <w:lvlJc w:val="left"/>
      <w:pPr>
        <w:ind w:left="1800" w:hanging="360"/>
      </w:pPr>
      <w:rPr>
        <w:rFonts w:ascii="Wingdings" w:eastAsia="Calibri" w:hAnsi="Wingdings" w:cs="Calibr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9" w15:restartNumberingAfterBreak="0">
    <w:nsid w:val="1F373EF7"/>
    <w:multiLevelType w:val="hybridMultilevel"/>
    <w:tmpl w:val="820EB0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1363A20"/>
    <w:multiLevelType w:val="hybridMultilevel"/>
    <w:tmpl w:val="384287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50973AF"/>
    <w:multiLevelType w:val="multilevel"/>
    <w:tmpl w:val="815AF6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34EC0F8C"/>
    <w:multiLevelType w:val="hybridMultilevel"/>
    <w:tmpl w:val="1E7E22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27632F"/>
    <w:multiLevelType w:val="hybridMultilevel"/>
    <w:tmpl w:val="F5847BB4"/>
    <w:lvl w:ilvl="0" w:tplc="123CCCC4">
      <w:start w:val="1"/>
      <w:numFmt w:val="bullet"/>
      <w:pStyle w:val="Style1"/>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AF276C"/>
    <w:multiLevelType w:val="multilevel"/>
    <w:tmpl w:val="815AF6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370B517B"/>
    <w:multiLevelType w:val="hybridMultilevel"/>
    <w:tmpl w:val="307C8D2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7" w15:restartNumberingAfterBreak="0">
    <w:nsid w:val="397A3594"/>
    <w:multiLevelType w:val="multilevel"/>
    <w:tmpl w:val="4D3437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222"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40EA01A3"/>
    <w:multiLevelType w:val="hybridMultilevel"/>
    <w:tmpl w:val="10108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53C583D"/>
    <w:multiLevelType w:val="multilevel"/>
    <w:tmpl w:val="DC0089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7E31B3F"/>
    <w:multiLevelType w:val="multilevel"/>
    <w:tmpl w:val="6758283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4CCC7BED"/>
    <w:multiLevelType w:val="multilevel"/>
    <w:tmpl w:val="19A8C56E"/>
    <w:lvl w:ilvl="0">
      <w:start w:val="1"/>
      <w:numFmt w:val="bullet"/>
      <w:lvlText w:val=""/>
      <w:lvlJc w:val="left"/>
      <w:pPr>
        <w:ind w:left="862" w:hanging="360"/>
      </w:pPr>
      <w:rPr>
        <w:rFonts w:ascii="Symbol" w:hAnsi="Symbol" w:hint="default"/>
      </w:rPr>
    </w:lvl>
    <w:lvl w:ilvl="1">
      <w:start w:val="1"/>
      <w:numFmt w:val="bullet"/>
      <w:lvlText w:val=""/>
      <w:lvlJc w:val="left"/>
      <w:pPr>
        <w:ind w:left="1222"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DD5CFE"/>
    <w:multiLevelType w:val="multilevel"/>
    <w:tmpl w:val="A6B4E2D6"/>
    <w:lvl w:ilvl="0">
      <w:start w:val="1"/>
      <w:numFmt w:val="bullet"/>
      <w:lvlText w:val="o"/>
      <w:lvlJc w:val="left"/>
      <w:pPr>
        <w:ind w:left="720" w:hanging="360"/>
      </w:pPr>
      <w:rPr>
        <w:rFonts w:ascii="Courier New" w:hAnsi="Courier New" w:cs="Courier New"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64F55342"/>
    <w:multiLevelType w:val="hybridMultilevel"/>
    <w:tmpl w:val="841CA9AE"/>
    <w:lvl w:ilvl="0" w:tplc="040C0003">
      <w:start w:val="1"/>
      <w:numFmt w:val="bullet"/>
      <w:lvlText w:val="o"/>
      <w:lvlJc w:val="left"/>
      <w:pPr>
        <w:ind w:left="1778" w:hanging="360"/>
      </w:pPr>
      <w:rPr>
        <w:rFonts w:ascii="Courier New" w:hAnsi="Courier New" w:cs="Courier New"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8"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6CEF68D8"/>
    <w:multiLevelType w:val="hybridMultilevel"/>
    <w:tmpl w:val="CF9AD43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0" w15:restartNumberingAfterBreak="0">
    <w:nsid w:val="72CC5B77"/>
    <w:multiLevelType w:val="hybridMultilevel"/>
    <w:tmpl w:val="4CBA061C"/>
    <w:lvl w:ilvl="0" w:tplc="040C0003">
      <w:start w:val="1"/>
      <w:numFmt w:val="bullet"/>
      <w:lvlText w:val="o"/>
      <w:lvlJc w:val="left"/>
      <w:pPr>
        <w:ind w:left="1778" w:hanging="360"/>
      </w:pPr>
      <w:rPr>
        <w:rFonts w:ascii="Courier New" w:hAnsi="Courier New" w:cs="Courier New"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1" w15:restartNumberingAfterBreak="0">
    <w:nsid w:val="73490DAF"/>
    <w:multiLevelType w:val="hybridMultilevel"/>
    <w:tmpl w:val="4ED231B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5317F7"/>
    <w:multiLevelType w:val="hybridMultilevel"/>
    <w:tmpl w:val="0FDE23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18"/>
  </w:num>
  <w:num w:numId="4">
    <w:abstractNumId w:val="28"/>
  </w:num>
  <w:num w:numId="5">
    <w:abstractNumId w:val="2"/>
  </w:num>
  <w:num w:numId="6">
    <w:abstractNumId w:val="19"/>
  </w:num>
  <w:num w:numId="7">
    <w:abstractNumId w:val="24"/>
  </w:num>
  <w:num w:numId="8">
    <w:abstractNumId w:val="20"/>
  </w:num>
  <w:num w:numId="9">
    <w:abstractNumId w:val="32"/>
  </w:num>
  <w:num w:numId="10">
    <w:abstractNumId w:val="16"/>
  </w:num>
  <w:num w:numId="11">
    <w:abstractNumId w:val="9"/>
  </w:num>
  <w:num w:numId="12">
    <w:abstractNumId w:val="14"/>
  </w:num>
  <w:num w:numId="13">
    <w:abstractNumId w:val="7"/>
  </w:num>
  <w:num w:numId="14">
    <w:abstractNumId w:val="21"/>
  </w:num>
  <w:num w:numId="15">
    <w:abstractNumId w:val="25"/>
  </w:num>
  <w:num w:numId="16">
    <w:abstractNumId w:val="31"/>
  </w:num>
  <w:num w:numId="17">
    <w:abstractNumId w:val="4"/>
  </w:num>
  <w:num w:numId="18">
    <w:abstractNumId w:val="3"/>
  </w:num>
  <w:num w:numId="19">
    <w:abstractNumId w:val="29"/>
  </w:num>
  <w:num w:numId="20">
    <w:abstractNumId w:val="0"/>
  </w:num>
  <w:num w:numId="21">
    <w:abstractNumId w:val="22"/>
  </w:num>
  <w:num w:numId="22">
    <w:abstractNumId w:val="1"/>
  </w:num>
  <w:num w:numId="23">
    <w:abstractNumId w:val="6"/>
  </w:num>
  <w:num w:numId="24">
    <w:abstractNumId w:val="8"/>
  </w:num>
  <w:num w:numId="25">
    <w:abstractNumId w:val="30"/>
  </w:num>
  <w:num w:numId="26">
    <w:abstractNumId w:val="27"/>
  </w:num>
  <w:num w:numId="27">
    <w:abstractNumId w:val="13"/>
  </w:num>
  <w:num w:numId="28">
    <w:abstractNumId w:val="5"/>
  </w:num>
  <w:num w:numId="29">
    <w:abstractNumId w:val="17"/>
  </w:num>
  <w:num w:numId="30">
    <w:abstractNumId w:val="23"/>
  </w:num>
  <w:num w:numId="31">
    <w:abstractNumId w:val="11"/>
  </w:num>
  <w:num w:numId="32">
    <w:abstractNumId w:val="15"/>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319BA"/>
    <w:rsid w:val="00042F11"/>
    <w:rsid w:val="00047D8A"/>
    <w:rsid w:val="00050268"/>
    <w:rsid w:val="000550DA"/>
    <w:rsid w:val="00071F7F"/>
    <w:rsid w:val="00083AC1"/>
    <w:rsid w:val="00085DFA"/>
    <w:rsid w:val="00094011"/>
    <w:rsid w:val="000B12EC"/>
    <w:rsid w:val="000B7869"/>
    <w:rsid w:val="000C638C"/>
    <w:rsid w:val="000D639C"/>
    <w:rsid w:val="000F345C"/>
    <w:rsid w:val="000F4B20"/>
    <w:rsid w:val="00103393"/>
    <w:rsid w:val="00107DA4"/>
    <w:rsid w:val="00111493"/>
    <w:rsid w:val="001274B7"/>
    <w:rsid w:val="001461F6"/>
    <w:rsid w:val="00177447"/>
    <w:rsid w:val="001A7E09"/>
    <w:rsid w:val="001E4E94"/>
    <w:rsid w:val="001F2129"/>
    <w:rsid w:val="00210B45"/>
    <w:rsid w:val="00214658"/>
    <w:rsid w:val="00252C72"/>
    <w:rsid w:val="002533FA"/>
    <w:rsid w:val="0028213D"/>
    <w:rsid w:val="00284697"/>
    <w:rsid w:val="002B337F"/>
    <w:rsid w:val="002E0B01"/>
    <w:rsid w:val="002F1E2B"/>
    <w:rsid w:val="002F469B"/>
    <w:rsid w:val="003112CA"/>
    <w:rsid w:val="00321081"/>
    <w:rsid w:val="00340244"/>
    <w:rsid w:val="00362C87"/>
    <w:rsid w:val="00364768"/>
    <w:rsid w:val="00370F32"/>
    <w:rsid w:val="003929EF"/>
    <w:rsid w:val="003A334E"/>
    <w:rsid w:val="003A3662"/>
    <w:rsid w:val="003A6351"/>
    <w:rsid w:val="003B5708"/>
    <w:rsid w:val="003C7AC8"/>
    <w:rsid w:val="003D00F4"/>
    <w:rsid w:val="003D5CA5"/>
    <w:rsid w:val="003F1F9D"/>
    <w:rsid w:val="004003AF"/>
    <w:rsid w:val="00461471"/>
    <w:rsid w:val="004659EC"/>
    <w:rsid w:val="0048122F"/>
    <w:rsid w:val="00487C30"/>
    <w:rsid w:val="004A524C"/>
    <w:rsid w:val="004C21F8"/>
    <w:rsid w:val="004C253C"/>
    <w:rsid w:val="004E2FEF"/>
    <w:rsid w:val="004E5A32"/>
    <w:rsid w:val="005002C5"/>
    <w:rsid w:val="0050503B"/>
    <w:rsid w:val="0050528A"/>
    <w:rsid w:val="00515BA4"/>
    <w:rsid w:val="00522643"/>
    <w:rsid w:val="00530D1B"/>
    <w:rsid w:val="005357B1"/>
    <w:rsid w:val="00552DB9"/>
    <w:rsid w:val="005662CA"/>
    <w:rsid w:val="00580724"/>
    <w:rsid w:val="0059238B"/>
    <w:rsid w:val="005962DE"/>
    <w:rsid w:val="005B10FE"/>
    <w:rsid w:val="005D1E0A"/>
    <w:rsid w:val="005F0664"/>
    <w:rsid w:val="005F3CC1"/>
    <w:rsid w:val="0060279D"/>
    <w:rsid w:val="0061070C"/>
    <w:rsid w:val="00611107"/>
    <w:rsid w:val="006128C7"/>
    <w:rsid w:val="006160C5"/>
    <w:rsid w:val="00620B4F"/>
    <w:rsid w:val="00622649"/>
    <w:rsid w:val="00647909"/>
    <w:rsid w:val="006606B9"/>
    <w:rsid w:val="00681C4A"/>
    <w:rsid w:val="0069390D"/>
    <w:rsid w:val="006C6F36"/>
    <w:rsid w:val="006D1A47"/>
    <w:rsid w:val="006D1C98"/>
    <w:rsid w:val="00730E16"/>
    <w:rsid w:val="00734C73"/>
    <w:rsid w:val="0076064D"/>
    <w:rsid w:val="00763C21"/>
    <w:rsid w:val="007A55A5"/>
    <w:rsid w:val="007A5979"/>
    <w:rsid w:val="007C4470"/>
    <w:rsid w:val="007D2677"/>
    <w:rsid w:val="00812DE0"/>
    <w:rsid w:val="00844479"/>
    <w:rsid w:val="008447C2"/>
    <w:rsid w:val="0087231E"/>
    <w:rsid w:val="0089639A"/>
    <w:rsid w:val="008C767D"/>
    <w:rsid w:val="008F7158"/>
    <w:rsid w:val="00905FE7"/>
    <w:rsid w:val="00932D39"/>
    <w:rsid w:val="00937A0D"/>
    <w:rsid w:val="00951471"/>
    <w:rsid w:val="009744BD"/>
    <w:rsid w:val="00985F3B"/>
    <w:rsid w:val="00993BCA"/>
    <w:rsid w:val="009B7D2B"/>
    <w:rsid w:val="009C20E2"/>
    <w:rsid w:val="009D15E7"/>
    <w:rsid w:val="009D5EDF"/>
    <w:rsid w:val="009F646F"/>
    <w:rsid w:val="00A06275"/>
    <w:rsid w:val="00A06971"/>
    <w:rsid w:val="00A165D3"/>
    <w:rsid w:val="00A26445"/>
    <w:rsid w:val="00A35302"/>
    <w:rsid w:val="00A926DB"/>
    <w:rsid w:val="00AD2BBB"/>
    <w:rsid w:val="00AD3FB0"/>
    <w:rsid w:val="00AE0853"/>
    <w:rsid w:val="00AF4420"/>
    <w:rsid w:val="00B177E7"/>
    <w:rsid w:val="00B17BA0"/>
    <w:rsid w:val="00B216CD"/>
    <w:rsid w:val="00B30E45"/>
    <w:rsid w:val="00B31CE8"/>
    <w:rsid w:val="00B34036"/>
    <w:rsid w:val="00B43479"/>
    <w:rsid w:val="00B609E3"/>
    <w:rsid w:val="00B63AEB"/>
    <w:rsid w:val="00B8627F"/>
    <w:rsid w:val="00B91160"/>
    <w:rsid w:val="00BD0A41"/>
    <w:rsid w:val="00BF1899"/>
    <w:rsid w:val="00BF5025"/>
    <w:rsid w:val="00C01E4F"/>
    <w:rsid w:val="00C02EE4"/>
    <w:rsid w:val="00C0587D"/>
    <w:rsid w:val="00C336A2"/>
    <w:rsid w:val="00C42E7D"/>
    <w:rsid w:val="00C57C5D"/>
    <w:rsid w:val="00C70C48"/>
    <w:rsid w:val="00C7607E"/>
    <w:rsid w:val="00C93CA0"/>
    <w:rsid w:val="00CC6D0D"/>
    <w:rsid w:val="00CC781C"/>
    <w:rsid w:val="00CE2E5D"/>
    <w:rsid w:val="00CF1001"/>
    <w:rsid w:val="00CF74ED"/>
    <w:rsid w:val="00D07153"/>
    <w:rsid w:val="00D17599"/>
    <w:rsid w:val="00D3058D"/>
    <w:rsid w:val="00D42527"/>
    <w:rsid w:val="00DB6230"/>
    <w:rsid w:val="00DC13FA"/>
    <w:rsid w:val="00DC51E3"/>
    <w:rsid w:val="00E11CFE"/>
    <w:rsid w:val="00E241CA"/>
    <w:rsid w:val="00E251EC"/>
    <w:rsid w:val="00E2633F"/>
    <w:rsid w:val="00E9398F"/>
    <w:rsid w:val="00E95D30"/>
    <w:rsid w:val="00F3798B"/>
    <w:rsid w:val="00F651B4"/>
    <w:rsid w:val="00F67B5F"/>
    <w:rsid w:val="00F67F95"/>
    <w:rsid w:val="00F87C51"/>
    <w:rsid w:val="00FE4BC6"/>
    <w:rsid w:val="00FF30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729FC"/>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5"/>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link w:val="ParagraphedelisteCar"/>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unhideWhenUsed/>
    <w:rsid w:val="005E31E0"/>
    <w:rPr>
      <w:sz w:val="20"/>
      <w:szCs w:val="20"/>
    </w:rPr>
  </w:style>
  <w:style w:type="character" w:customStyle="1" w:styleId="CommentaireCar">
    <w:name w:val="Commentaire Car"/>
    <w:basedOn w:val="Policepardfaut"/>
    <w:link w:val="Commentaire"/>
    <w:uiPriority w:val="99"/>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customStyle="1" w:styleId="Mentionnonrsolue3">
    <w:name w:val="Mention non résolue3"/>
    <w:basedOn w:val="Policepardfaut"/>
    <w:uiPriority w:val="99"/>
    <w:semiHidden/>
    <w:unhideWhenUsed/>
    <w:rsid w:val="009F646F"/>
    <w:rPr>
      <w:color w:val="605E5C"/>
      <w:shd w:val="clear" w:color="auto" w:fill="E1DFDD"/>
    </w:rPr>
  </w:style>
  <w:style w:type="paragraph" w:customStyle="1" w:styleId="Style1">
    <w:name w:val="Style1"/>
    <w:basedOn w:val="Paragraphedeliste"/>
    <w:link w:val="Style1Car"/>
    <w:qFormat/>
    <w:rsid w:val="003C7AC8"/>
    <w:pPr>
      <w:numPr>
        <w:numId w:val="12"/>
      </w:numPr>
      <w:pBdr>
        <w:top w:val="nil"/>
        <w:left w:val="nil"/>
        <w:bottom w:val="nil"/>
        <w:right w:val="nil"/>
        <w:between w:val="nil"/>
      </w:pBdr>
      <w:tabs>
        <w:tab w:val="left" w:pos="1307"/>
      </w:tabs>
      <w:jc w:val="both"/>
    </w:pPr>
    <w:rPr>
      <w:b/>
      <w:bCs/>
      <w:i/>
      <w:iCs/>
      <w:color w:val="8064A2" w:themeColor="accent4"/>
      <w:sz w:val="24"/>
      <w:szCs w:val="24"/>
    </w:rPr>
  </w:style>
  <w:style w:type="character" w:customStyle="1" w:styleId="ParagraphedelisteCar">
    <w:name w:val="Paragraphe de liste Car"/>
    <w:basedOn w:val="Policepardfaut"/>
    <w:link w:val="Paragraphedeliste"/>
    <w:uiPriority w:val="34"/>
    <w:rsid w:val="003C7AC8"/>
  </w:style>
  <w:style w:type="character" w:customStyle="1" w:styleId="Style1Car">
    <w:name w:val="Style1 Car"/>
    <w:basedOn w:val="ParagraphedelisteCar"/>
    <w:link w:val="Style1"/>
    <w:rsid w:val="003C7AC8"/>
    <w:rPr>
      <w:b/>
      <w:bCs/>
      <w:i/>
      <w:iCs/>
      <w:color w:val="8064A2" w:themeColor="accent4"/>
      <w:sz w:val="24"/>
      <w:szCs w:val="24"/>
    </w:rPr>
  </w:style>
  <w:style w:type="character" w:styleId="Mentionnonrsolue">
    <w:name w:val="Unresolved Mention"/>
    <w:basedOn w:val="Policepardfaut"/>
    <w:uiPriority w:val="99"/>
    <w:semiHidden/>
    <w:unhideWhenUsed/>
    <w:rsid w:val="00763C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690251">
      <w:bodyDiv w:val="1"/>
      <w:marLeft w:val="0"/>
      <w:marRight w:val="0"/>
      <w:marTop w:val="0"/>
      <w:marBottom w:val="0"/>
      <w:divBdr>
        <w:top w:val="none" w:sz="0" w:space="0" w:color="auto"/>
        <w:left w:val="none" w:sz="0" w:space="0" w:color="auto"/>
        <w:bottom w:val="none" w:sz="0" w:space="0" w:color="auto"/>
        <w:right w:val="none" w:sz="0" w:space="0" w:color="auto"/>
      </w:divBdr>
    </w:div>
    <w:div w:id="470562653">
      <w:bodyDiv w:val="1"/>
      <w:marLeft w:val="0"/>
      <w:marRight w:val="0"/>
      <w:marTop w:val="0"/>
      <w:marBottom w:val="0"/>
      <w:divBdr>
        <w:top w:val="none" w:sz="0" w:space="0" w:color="auto"/>
        <w:left w:val="none" w:sz="0" w:space="0" w:color="auto"/>
        <w:bottom w:val="none" w:sz="0" w:space="0" w:color="auto"/>
        <w:right w:val="none" w:sz="0" w:space="0" w:color="auto"/>
      </w:divBdr>
    </w:div>
    <w:div w:id="809788369">
      <w:bodyDiv w:val="1"/>
      <w:marLeft w:val="0"/>
      <w:marRight w:val="0"/>
      <w:marTop w:val="0"/>
      <w:marBottom w:val="0"/>
      <w:divBdr>
        <w:top w:val="none" w:sz="0" w:space="0" w:color="auto"/>
        <w:left w:val="none" w:sz="0" w:space="0" w:color="auto"/>
        <w:bottom w:val="none" w:sz="0" w:space="0" w:color="auto"/>
        <w:right w:val="none" w:sz="0" w:space="0" w:color="auto"/>
      </w:divBdr>
    </w:div>
    <w:div w:id="1328023279">
      <w:bodyDiv w:val="1"/>
      <w:marLeft w:val="0"/>
      <w:marRight w:val="0"/>
      <w:marTop w:val="0"/>
      <w:marBottom w:val="0"/>
      <w:divBdr>
        <w:top w:val="none" w:sz="0" w:space="0" w:color="auto"/>
        <w:left w:val="none" w:sz="0" w:space="0" w:color="auto"/>
        <w:bottom w:val="none" w:sz="0" w:space="0" w:color="auto"/>
        <w:right w:val="none" w:sz="0" w:space="0" w:color="auto"/>
      </w:divBdr>
    </w:div>
    <w:div w:id="1953322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ec.europa.eu/info/funding-tenders/opportunities/docs/2021-2027/innovfund/wp-call/call-annex_c_innovfund-lsc-2020-two-stage_en.pdf" TargetMode="External"/><Relationship Id="rId26" Type="http://schemas.openxmlformats.org/officeDocument/2006/relationships/hyperlink" Target="https://www.fonroche-geothermie.com/nos-partenaires" TargetMode="External"/><Relationship Id="rId39" Type="http://schemas.openxmlformats.org/officeDocument/2006/relationships/theme" Target="theme/theme1.xml"/><Relationship Id="rId21" Type="http://schemas.openxmlformats.org/officeDocument/2006/relationships/hyperlink" Target="https://ec.europa.eu/clima/policies/innovation-fund_en" TargetMode="External"/><Relationship Id="rId34" Type="http://schemas.openxmlformats.org/officeDocument/2006/relationships/hyperlink" Target="https://ec.europa.eu/clima/events/innovation-fund-lessons-learnt-applications-2020-calls_en" TargetMode="External"/><Relationship Id="rId7" Type="http://schemas.openxmlformats.org/officeDocument/2006/relationships/footnotes" Target="footnotes.xml"/><Relationship Id="rId12" Type="http://schemas.openxmlformats.org/officeDocument/2006/relationships/hyperlink" Target="https://ec.europa.eu/info/funding-tenders/opportunities/docs/2021-2027/innovfund/wp-call/call-annex_b_innovfund-lsc-2020-two-stage_en.pdf" TargetMode="External"/><Relationship Id="rId17" Type="http://schemas.openxmlformats.org/officeDocument/2006/relationships/hyperlink" Target="https://ec.europa.eu/info/funding-tenders/opportunities/docs/2021-2027/innovfund/wp-call/call-annex_c_innovfund-lsc-2020-two-stage_en.pdf" TargetMode="External"/><Relationship Id="rId25" Type="http://schemas.openxmlformats.org/officeDocument/2006/relationships/hyperlink" Target="https://ec.europa.eu/clima/sites/default/files/innovation-fund/large-scale_call_statistics_en.pdf" TargetMode="External"/><Relationship Id="rId33" Type="http://schemas.openxmlformats.org/officeDocument/2006/relationships/hyperlink" Target="https://ec.europa.eu/clima/events/innovation-fund-webinar-how-submit-full-application-second-stage-first-call-large-scale_e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c.europa.eu/clima/policies/innovation-fund_en" TargetMode="External"/><Relationship Id="rId20" Type="http://schemas.openxmlformats.org/officeDocument/2006/relationships/hyperlink" Target="https://ec.europa.eu/clima/sites/default/files/innovation-fund/innovation_fund_cumulation_public_en.pdf" TargetMode="External"/><Relationship Id="rId29" Type="http://schemas.openxmlformats.org/officeDocument/2006/relationships/hyperlink" Target="mailto:akuoenergy@akuoenergy.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clima/sites/default/files/innovation-fund/public_project_database_en.pdf" TargetMode="External"/><Relationship Id="rId24" Type="http://schemas.openxmlformats.org/officeDocument/2006/relationships/hyperlink" Target="https://ec.europa.eu/clima/sites/default/files/innovation-fund/innovation_fund_cumulation_public_en.pdf" TargetMode="External"/><Relationship Id="rId32" Type="http://schemas.openxmlformats.org/officeDocument/2006/relationships/hyperlink" Target="https://ec.europa.eu/clima/policies/innovation-fund_en" TargetMode="External"/><Relationship Id="rId37"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s://ec.europa.eu/info/funding-tenders/opportunities/portal/screen/how-to-participate/reference-documents;programCode=INNOVFUND" TargetMode="External"/><Relationship Id="rId28" Type="http://schemas.openxmlformats.org/officeDocument/2006/relationships/hyperlink" Target="https://www.akuoenergy.com/fr/nemo" TargetMode="External"/><Relationship Id="rId36" Type="http://schemas.openxmlformats.org/officeDocument/2006/relationships/footer" Target="footer1.xml"/><Relationship Id="rId10" Type="http://schemas.openxmlformats.org/officeDocument/2006/relationships/hyperlink" Target="https://eur-lex.europa.eu/legal-content/FR/TXT/?uri=CELEX%3A02003L0087-20200101" TargetMode="External"/><Relationship Id="rId19" Type="http://schemas.openxmlformats.org/officeDocument/2006/relationships/hyperlink" Target="https://ec.europa.eu/info/funding-tenders/opportunities/docs/2021-2027/innovfund/wp-call/call-annex_b_innovfund-lsc-2020-two-stage_en.pdf" TargetMode="External"/><Relationship Id="rId31" Type="http://schemas.openxmlformats.org/officeDocument/2006/relationships/hyperlink" Target="https://ec.europa.eu/clima/policies/innovation-fund_e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ec.europa.eu/clima/sites/default/files/innovation-fund/innovation_fund_cumulation_public_en.pdf" TargetMode="External"/><Relationship Id="rId22" Type="http://schemas.openxmlformats.org/officeDocument/2006/relationships/hyperlink" Target="https://ec.europa.eu/info/funding-tenders/opportunities/docs/2021-2027/innovfund/wp-call/call-annex_b_innovfund-lsc-2020-two-stage_en.pdf" TargetMode="External"/><Relationship Id="rId27" Type="http://schemas.openxmlformats.org/officeDocument/2006/relationships/hyperlink" Target="mailto:geothermie@fonroche.fr" TargetMode="External"/><Relationship Id="rId30" Type="http://schemas.openxmlformats.org/officeDocument/2006/relationships/hyperlink" Target="https://cinea.ec.europa.eu/innovation-fund_e"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FR/TXT/?uri=CELEX:32019R085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jpg"/><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8CA33C-8C34-4439-AD34-07C0F697F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8</Pages>
  <Words>4087</Words>
  <Characters>22484</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33</cp:revision>
  <dcterms:created xsi:type="dcterms:W3CDTF">2021-05-11T12:43:00Z</dcterms:created>
  <dcterms:modified xsi:type="dcterms:W3CDTF">2021-06-07T09:46:00Z</dcterms:modified>
</cp:coreProperties>
</file>